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27" w:rsidRPr="006E1CC5" w:rsidRDefault="00E23D27" w:rsidP="00E23D27">
      <w:pPr>
        <w:jc w:val="center"/>
        <w:rPr>
          <w:b/>
          <w:sz w:val="24"/>
          <w:szCs w:val="24"/>
        </w:rPr>
      </w:pPr>
      <w:r w:rsidRPr="006E1CC5">
        <w:rPr>
          <w:b/>
          <w:sz w:val="24"/>
          <w:szCs w:val="24"/>
        </w:rPr>
        <w:t>European Economic Regulation Law – M2 Droit européen / European Law</w:t>
      </w:r>
    </w:p>
    <w:p w:rsidR="00E23D27" w:rsidRPr="00297478" w:rsidRDefault="00E23D27" w:rsidP="00E23D27">
      <w:pPr>
        <w:jc w:val="center"/>
        <w:rPr>
          <w:b/>
          <w:sz w:val="24"/>
          <w:szCs w:val="24"/>
        </w:rPr>
      </w:pPr>
      <w:r w:rsidRPr="00297478">
        <w:rPr>
          <w:b/>
          <w:sz w:val="24"/>
          <w:szCs w:val="24"/>
        </w:rPr>
        <w:t>Pr. S. de La Rosa – 2023/2023</w:t>
      </w:r>
    </w:p>
    <w:p w:rsidR="00E23D27" w:rsidRPr="00297478" w:rsidRDefault="00E23D27" w:rsidP="00AE47CC">
      <w:pPr>
        <w:jc w:val="center"/>
        <w:rPr>
          <w:b/>
          <w:sz w:val="24"/>
          <w:szCs w:val="24"/>
          <w:u w:val="single"/>
        </w:rPr>
      </w:pPr>
    </w:p>
    <w:p w:rsidR="00E23D27" w:rsidRPr="00297478" w:rsidRDefault="00E23D27" w:rsidP="00AE47CC">
      <w:pPr>
        <w:jc w:val="center"/>
        <w:rPr>
          <w:b/>
          <w:sz w:val="24"/>
          <w:szCs w:val="24"/>
          <w:u w:val="single"/>
        </w:rPr>
      </w:pPr>
    </w:p>
    <w:p w:rsidR="00AE47CC" w:rsidRDefault="00E23D27" w:rsidP="00AE47CC">
      <w:pPr>
        <w:jc w:val="center"/>
        <w:rPr>
          <w:b/>
          <w:sz w:val="24"/>
          <w:szCs w:val="24"/>
          <w:u w:val="single"/>
          <w:lang w:val="en-US"/>
        </w:rPr>
      </w:pPr>
      <w:r>
        <w:rPr>
          <w:b/>
          <w:sz w:val="24"/>
          <w:szCs w:val="24"/>
          <w:u w:val="single"/>
          <w:lang w:val="en-US"/>
        </w:rPr>
        <w:t>Chapter</w:t>
      </w:r>
      <w:r w:rsidR="00DF6CDB">
        <w:rPr>
          <w:b/>
          <w:sz w:val="24"/>
          <w:szCs w:val="24"/>
          <w:u w:val="single"/>
          <w:lang w:val="en-US"/>
        </w:rPr>
        <w:t xml:space="preserve"> 3</w:t>
      </w:r>
      <w:r w:rsidR="00AE47CC">
        <w:rPr>
          <w:b/>
          <w:sz w:val="24"/>
          <w:szCs w:val="24"/>
          <w:u w:val="single"/>
          <w:lang w:val="en-US"/>
        </w:rPr>
        <w:t xml:space="preserve">. - </w:t>
      </w:r>
      <w:r w:rsidRPr="00B50D4C">
        <w:rPr>
          <w:b/>
          <w:smallCaps/>
          <w:sz w:val="24"/>
          <w:szCs w:val="24"/>
          <w:lang w:val="en-US"/>
        </w:rPr>
        <w:t xml:space="preserve">Network industries </w:t>
      </w:r>
      <w:r w:rsidR="00DF6CDB">
        <w:rPr>
          <w:b/>
          <w:smallCaps/>
          <w:sz w:val="24"/>
          <w:szCs w:val="24"/>
          <w:lang w:val="en-US"/>
        </w:rPr>
        <w:t xml:space="preserve">and sectoral eu policies </w:t>
      </w:r>
    </w:p>
    <w:p w:rsidR="00AE47CC" w:rsidRPr="00285D54" w:rsidRDefault="00AE47CC" w:rsidP="00AE47CC">
      <w:pPr>
        <w:jc w:val="center"/>
        <w:rPr>
          <w:b/>
          <w:sz w:val="24"/>
          <w:szCs w:val="24"/>
          <w:u w:val="single"/>
          <w:lang w:val="en-US"/>
        </w:rPr>
      </w:pPr>
    </w:p>
    <w:p w:rsidR="00AE47CC" w:rsidRDefault="00AE47CC" w:rsidP="00AE47CC">
      <w:pPr>
        <w:pStyle w:val="Paragraphedeliste"/>
        <w:numPr>
          <w:ilvl w:val="0"/>
          <w:numId w:val="2"/>
        </w:numPr>
        <w:rPr>
          <w:b/>
          <w:sz w:val="24"/>
          <w:szCs w:val="24"/>
        </w:rPr>
      </w:pPr>
      <w:r w:rsidRPr="00285D54">
        <w:rPr>
          <w:b/>
          <w:sz w:val="24"/>
          <w:szCs w:val="24"/>
        </w:rPr>
        <w:t xml:space="preserve">Main topics </w:t>
      </w:r>
    </w:p>
    <w:p w:rsidR="00DF6CDB" w:rsidRPr="00297478" w:rsidRDefault="00DF6CDB" w:rsidP="00DF6CDB">
      <w:pPr>
        <w:rPr>
          <w:sz w:val="24"/>
          <w:szCs w:val="24"/>
          <w:lang w:val="en-US"/>
        </w:rPr>
      </w:pPr>
      <w:r w:rsidRPr="00297478">
        <w:rPr>
          <w:sz w:val="24"/>
          <w:szCs w:val="24"/>
          <w:lang w:val="en-US"/>
        </w:rPr>
        <w:t xml:space="preserve">Overview of the diversity of policies overlapping with network issues </w:t>
      </w:r>
    </w:p>
    <w:p w:rsidR="00DF6CDB" w:rsidRPr="00DF6CDB" w:rsidRDefault="00DF6CDB" w:rsidP="00DF6CDB">
      <w:pPr>
        <w:pStyle w:val="Paragraphedeliste"/>
        <w:numPr>
          <w:ilvl w:val="0"/>
          <w:numId w:val="5"/>
        </w:numPr>
        <w:rPr>
          <w:sz w:val="24"/>
          <w:szCs w:val="24"/>
        </w:rPr>
      </w:pPr>
      <w:r w:rsidRPr="00DF6CDB">
        <w:rPr>
          <w:sz w:val="24"/>
          <w:szCs w:val="24"/>
        </w:rPr>
        <w:t>Transport policy</w:t>
      </w:r>
    </w:p>
    <w:p w:rsidR="00DF6CDB" w:rsidRPr="00DF6CDB" w:rsidRDefault="00DF6CDB" w:rsidP="00DF6CDB">
      <w:pPr>
        <w:pStyle w:val="Paragraphedeliste"/>
        <w:numPr>
          <w:ilvl w:val="0"/>
          <w:numId w:val="5"/>
        </w:numPr>
        <w:rPr>
          <w:sz w:val="24"/>
          <w:szCs w:val="24"/>
        </w:rPr>
      </w:pPr>
      <w:r w:rsidRPr="00DF6CDB">
        <w:rPr>
          <w:sz w:val="24"/>
          <w:szCs w:val="24"/>
        </w:rPr>
        <w:t xml:space="preserve">Network policy </w:t>
      </w:r>
    </w:p>
    <w:p w:rsidR="002E2E65" w:rsidRPr="00DF6CDB" w:rsidRDefault="00DF6CDB" w:rsidP="00DF6CDB">
      <w:pPr>
        <w:pStyle w:val="Paragraphedeliste"/>
        <w:numPr>
          <w:ilvl w:val="0"/>
          <w:numId w:val="5"/>
        </w:numPr>
        <w:rPr>
          <w:sz w:val="24"/>
          <w:szCs w:val="24"/>
        </w:rPr>
      </w:pPr>
      <w:r w:rsidRPr="00DF6CDB">
        <w:rPr>
          <w:sz w:val="24"/>
          <w:szCs w:val="24"/>
        </w:rPr>
        <w:t>Energy policy</w:t>
      </w:r>
    </w:p>
    <w:p w:rsidR="00DF6CDB" w:rsidRPr="00DF6CDB" w:rsidRDefault="00DF6CDB" w:rsidP="00DF6CDB">
      <w:pPr>
        <w:rPr>
          <w:sz w:val="24"/>
          <w:szCs w:val="24"/>
        </w:rPr>
      </w:pPr>
    </w:p>
    <w:p w:rsidR="002E2E65" w:rsidRDefault="002E2E65" w:rsidP="002E2E65">
      <w:pPr>
        <w:pStyle w:val="Paragraphedeliste"/>
        <w:numPr>
          <w:ilvl w:val="0"/>
          <w:numId w:val="4"/>
        </w:numPr>
        <w:ind w:left="709"/>
        <w:rPr>
          <w:rFonts w:asciiTheme="minorHAnsi" w:hAnsiTheme="minorHAnsi"/>
          <w:b/>
          <w:sz w:val="24"/>
          <w:szCs w:val="24"/>
        </w:rPr>
      </w:pPr>
      <w:r w:rsidRPr="002E2E65">
        <w:rPr>
          <w:rFonts w:asciiTheme="minorHAnsi" w:hAnsiTheme="minorHAnsi"/>
          <w:b/>
          <w:sz w:val="24"/>
          <w:szCs w:val="24"/>
        </w:rPr>
        <w:t xml:space="preserve">Useful cases </w:t>
      </w:r>
      <w:r>
        <w:rPr>
          <w:rFonts w:asciiTheme="minorHAnsi" w:hAnsiTheme="minorHAnsi"/>
          <w:b/>
          <w:sz w:val="24"/>
          <w:szCs w:val="24"/>
        </w:rPr>
        <w:t xml:space="preserve">and links </w:t>
      </w:r>
    </w:p>
    <w:p w:rsidR="002E2E65" w:rsidRDefault="002E2E65" w:rsidP="002E2E65">
      <w:pPr>
        <w:rPr>
          <w:b/>
          <w:sz w:val="24"/>
          <w:szCs w:val="24"/>
          <w:lang w:val="en-US"/>
        </w:rPr>
      </w:pPr>
    </w:p>
    <w:p w:rsidR="00411AD7" w:rsidRPr="00411AD7" w:rsidRDefault="00411AD7" w:rsidP="00411AD7">
      <w:pPr>
        <w:jc w:val="both"/>
        <w:rPr>
          <w:sz w:val="24"/>
          <w:szCs w:val="24"/>
          <w:lang w:val="en-US"/>
        </w:rPr>
      </w:pPr>
      <w:r>
        <w:rPr>
          <w:b/>
          <w:sz w:val="24"/>
          <w:szCs w:val="24"/>
          <w:lang w:val="en-US"/>
        </w:rPr>
        <w:t xml:space="preserve">Art. </w:t>
      </w:r>
      <w:proofErr w:type="gramStart"/>
      <w:r>
        <w:rPr>
          <w:b/>
          <w:sz w:val="24"/>
          <w:szCs w:val="24"/>
          <w:lang w:val="en-US"/>
        </w:rPr>
        <w:t>194</w:t>
      </w:r>
      <w:proofErr w:type="gramEnd"/>
      <w:r>
        <w:rPr>
          <w:b/>
          <w:sz w:val="24"/>
          <w:szCs w:val="24"/>
          <w:lang w:val="en-US"/>
        </w:rPr>
        <w:t xml:space="preserve"> TFUE - </w:t>
      </w:r>
      <w:r w:rsidRPr="00411AD7">
        <w:rPr>
          <w:sz w:val="24"/>
          <w:szCs w:val="24"/>
          <w:lang w:val="en-US"/>
        </w:rPr>
        <w:t>1. In the context of the establishment and functioning of the internal market and with regard for the need to preserve and improve the environment, Union policy on energy shall aim, in a spirit of solidarity between Member States, to:</w:t>
      </w:r>
    </w:p>
    <w:p w:rsidR="00411AD7" w:rsidRPr="00411AD7" w:rsidRDefault="00411AD7" w:rsidP="00411AD7">
      <w:pPr>
        <w:jc w:val="both"/>
        <w:rPr>
          <w:sz w:val="24"/>
          <w:szCs w:val="24"/>
          <w:lang w:val="en-US"/>
        </w:rPr>
      </w:pPr>
      <w:r w:rsidRPr="00411AD7">
        <w:rPr>
          <w:sz w:val="24"/>
          <w:szCs w:val="24"/>
          <w:lang w:val="en-US"/>
        </w:rPr>
        <w:t xml:space="preserve">(a) </w:t>
      </w:r>
      <w:proofErr w:type="gramStart"/>
      <w:r w:rsidRPr="00411AD7">
        <w:rPr>
          <w:sz w:val="24"/>
          <w:szCs w:val="24"/>
          <w:lang w:val="en-US"/>
        </w:rPr>
        <w:t>ensure</w:t>
      </w:r>
      <w:proofErr w:type="gramEnd"/>
      <w:r w:rsidRPr="00411AD7">
        <w:rPr>
          <w:sz w:val="24"/>
          <w:szCs w:val="24"/>
          <w:lang w:val="en-US"/>
        </w:rPr>
        <w:t xml:space="preserve"> the functioning of the energy market;</w:t>
      </w:r>
    </w:p>
    <w:p w:rsidR="00411AD7" w:rsidRPr="00411AD7" w:rsidRDefault="00411AD7" w:rsidP="00411AD7">
      <w:pPr>
        <w:jc w:val="both"/>
        <w:rPr>
          <w:sz w:val="24"/>
          <w:szCs w:val="24"/>
          <w:lang w:val="en-US"/>
        </w:rPr>
      </w:pPr>
      <w:r w:rsidRPr="00411AD7">
        <w:rPr>
          <w:sz w:val="24"/>
          <w:szCs w:val="24"/>
          <w:lang w:val="en-US"/>
        </w:rPr>
        <w:t xml:space="preserve">(b) </w:t>
      </w:r>
      <w:proofErr w:type="gramStart"/>
      <w:r w:rsidRPr="00411AD7">
        <w:rPr>
          <w:sz w:val="24"/>
          <w:szCs w:val="24"/>
          <w:lang w:val="en-US"/>
        </w:rPr>
        <w:t>ensure</w:t>
      </w:r>
      <w:proofErr w:type="gramEnd"/>
      <w:r w:rsidRPr="00411AD7">
        <w:rPr>
          <w:sz w:val="24"/>
          <w:szCs w:val="24"/>
          <w:lang w:val="en-US"/>
        </w:rPr>
        <w:t xml:space="preserve"> security of energy supply in the Union;</w:t>
      </w:r>
    </w:p>
    <w:p w:rsidR="00411AD7" w:rsidRPr="00411AD7" w:rsidRDefault="00411AD7" w:rsidP="00411AD7">
      <w:pPr>
        <w:jc w:val="both"/>
        <w:rPr>
          <w:sz w:val="24"/>
          <w:szCs w:val="24"/>
          <w:lang w:val="en-US"/>
        </w:rPr>
      </w:pPr>
      <w:r w:rsidRPr="00411AD7">
        <w:rPr>
          <w:sz w:val="24"/>
          <w:szCs w:val="24"/>
          <w:lang w:val="en-US"/>
        </w:rPr>
        <w:t xml:space="preserve">(c) </w:t>
      </w:r>
      <w:proofErr w:type="gramStart"/>
      <w:r w:rsidRPr="00411AD7">
        <w:rPr>
          <w:sz w:val="24"/>
          <w:szCs w:val="24"/>
          <w:lang w:val="en-US"/>
        </w:rPr>
        <w:t>promote</w:t>
      </w:r>
      <w:proofErr w:type="gramEnd"/>
      <w:r w:rsidRPr="00411AD7">
        <w:rPr>
          <w:sz w:val="24"/>
          <w:szCs w:val="24"/>
          <w:lang w:val="en-US"/>
        </w:rPr>
        <w:t xml:space="preserve"> energy efficiency and energy saving and the development of new and renewable forms of energy; and</w:t>
      </w:r>
    </w:p>
    <w:p w:rsidR="00411AD7" w:rsidRPr="00411AD7" w:rsidRDefault="00411AD7" w:rsidP="00411AD7">
      <w:pPr>
        <w:jc w:val="both"/>
        <w:rPr>
          <w:sz w:val="24"/>
          <w:szCs w:val="24"/>
          <w:lang w:val="en-US"/>
        </w:rPr>
      </w:pPr>
      <w:r w:rsidRPr="00411AD7">
        <w:rPr>
          <w:sz w:val="24"/>
          <w:szCs w:val="24"/>
          <w:lang w:val="en-US"/>
        </w:rPr>
        <w:t xml:space="preserve">(d) </w:t>
      </w:r>
      <w:proofErr w:type="gramStart"/>
      <w:r w:rsidRPr="00411AD7">
        <w:rPr>
          <w:sz w:val="24"/>
          <w:szCs w:val="24"/>
          <w:lang w:val="en-US"/>
        </w:rPr>
        <w:t>promote</w:t>
      </w:r>
      <w:proofErr w:type="gramEnd"/>
      <w:r w:rsidRPr="00411AD7">
        <w:rPr>
          <w:sz w:val="24"/>
          <w:szCs w:val="24"/>
          <w:lang w:val="en-US"/>
        </w:rPr>
        <w:t xml:space="preserve"> the interconnection of energy networks.</w:t>
      </w:r>
    </w:p>
    <w:p w:rsidR="00411AD7" w:rsidRPr="00411AD7" w:rsidRDefault="00411AD7" w:rsidP="00411AD7">
      <w:pPr>
        <w:jc w:val="both"/>
        <w:rPr>
          <w:sz w:val="24"/>
          <w:szCs w:val="24"/>
          <w:lang w:val="en-US"/>
        </w:rPr>
      </w:pPr>
      <w:r w:rsidRPr="00411AD7">
        <w:rPr>
          <w:sz w:val="24"/>
          <w:szCs w:val="24"/>
          <w:lang w:val="en-US"/>
        </w:rPr>
        <w:t xml:space="preserve">2. Without prejudice to the application of other provisions of the Treaties, the European Parliament and the Council, acting in accordance with the ordinary legislative procedure, shall establish the measures necessary to achieve the objectives in paragraph 1. Such measures </w:t>
      </w:r>
      <w:proofErr w:type="gramStart"/>
      <w:r w:rsidRPr="00411AD7">
        <w:rPr>
          <w:sz w:val="24"/>
          <w:szCs w:val="24"/>
          <w:lang w:val="en-US"/>
        </w:rPr>
        <w:t>shall be adopted</w:t>
      </w:r>
      <w:proofErr w:type="gramEnd"/>
      <w:r w:rsidRPr="00411AD7">
        <w:rPr>
          <w:sz w:val="24"/>
          <w:szCs w:val="24"/>
          <w:lang w:val="en-US"/>
        </w:rPr>
        <w:t xml:space="preserve"> after consultation of the Economic and Social Committee and the Committee of the Regions.</w:t>
      </w:r>
    </w:p>
    <w:p w:rsidR="00411AD7" w:rsidRPr="00411AD7" w:rsidRDefault="00411AD7" w:rsidP="002E2E65">
      <w:pPr>
        <w:rPr>
          <w:b/>
          <w:sz w:val="24"/>
          <w:szCs w:val="24"/>
          <w:lang w:val="es-ES"/>
        </w:rPr>
      </w:pPr>
      <w:r w:rsidRPr="00411AD7">
        <w:rPr>
          <w:b/>
          <w:sz w:val="24"/>
          <w:szCs w:val="24"/>
          <w:lang w:val="es-ES"/>
        </w:rPr>
        <w:t xml:space="preserve">EU Energy Union: </w:t>
      </w:r>
      <w:hyperlink r:id="rId7" w:history="1">
        <w:r w:rsidRPr="006B77B8">
          <w:rPr>
            <w:rStyle w:val="Lienhypertexte"/>
            <w:b/>
            <w:sz w:val="24"/>
            <w:szCs w:val="24"/>
            <w:lang w:val="es-ES"/>
          </w:rPr>
          <w:t>https://eur-lex.europa.eu/summary/chapter/18.html</w:t>
        </w:r>
      </w:hyperlink>
      <w:r>
        <w:rPr>
          <w:b/>
          <w:sz w:val="24"/>
          <w:szCs w:val="24"/>
          <w:lang w:val="es-ES"/>
        </w:rPr>
        <w:t xml:space="preserve"> </w:t>
      </w:r>
    </w:p>
    <w:p w:rsidR="00411AD7" w:rsidRDefault="00411AD7" w:rsidP="00411AD7">
      <w:pPr>
        <w:pStyle w:val="title-bold"/>
        <w:shd w:val="clear" w:color="auto" w:fill="FFFFFF"/>
        <w:spacing w:before="0" w:beforeAutospacing="0" w:after="75" w:afterAutospacing="0"/>
        <w:jc w:val="both"/>
        <w:rPr>
          <w:b/>
          <w:lang w:val="en-US"/>
        </w:rPr>
      </w:pPr>
      <w:r w:rsidRPr="00761F1A">
        <w:rPr>
          <w:b/>
          <w:sz w:val="22"/>
          <w:szCs w:val="22"/>
          <w:lang w:val="en-US"/>
        </w:rPr>
        <w:t xml:space="preserve">REPOWER EU action </w:t>
      </w:r>
      <w:proofErr w:type="gramStart"/>
      <w:r w:rsidRPr="00761F1A">
        <w:rPr>
          <w:b/>
          <w:sz w:val="22"/>
          <w:szCs w:val="22"/>
          <w:lang w:val="en-US"/>
        </w:rPr>
        <w:t>plan</w:t>
      </w:r>
      <w:r w:rsidRPr="00411AD7">
        <w:rPr>
          <w:b/>
          <w:lang w:val="en-US"/>
        </w:rPr>
        <w:t> :</w:t>
      </w:r>
      <w:proofErr w:type="gramEnd"/>
      <w:r w:rsidRPr="00411AD7">
        <w:rPr>
          <w:b/>
          <w:lang w:val="en-US"/>
        </w:rPr>
        <w:t xml:space="preserve"> </w:t>
      </w:r>
      <w:r w:rsidRPr="00411AD7">
        <w:rPr>
          <w:rFonts w:ascii="Roboto" w:hAnsi="Roboto"/>
          <w:bCs/>
          <w:color w:val="333333"/>
          <w:sz w:val="21"/>
          <w:szCs w:val="21"/>
          <w:lang w:val="en-US"/>
        </w:rPr>
        <w:t>COMMUNICATION FROM THE COMMISSION TO THE EUROPEAN PARLIAMENT, THE EUROPEAN COUNCIL, THE COUNCIL, THE EUROPEAN ECONOMIC AND SOCIAL COMMITTEE AND THE COMMITTEE OF THE REGIONS REPowerEU Plan</w:t>
      </w:r>
      <w:r w:rsidRPr="00411AD7">
        <w:rPr>
          <w:rFonts w:ascii="Roboto" w:hAnsi="Roboto"/>
          <w:bCs/>
          <w:color w:val="333333"/>
          <w:sz w:val="21"/>
          <w:szCs w:val="21"/>
          <w:lang w:val="en-US"/>
        </w:rPr>
        <w:t xml:space="preserve"> - </w:t>
      </w:r>
      <w:r w:rsidRPr="00411AD7">
        <w:rPr>
          <w:rFonts w:ascii="Roboto" w:hAnsi="Roboto"/>
          <w:color w:val="333333"/>
          <w:sz w:val="21"/>
          <w:szCs w:val="21"/>
          <w:lang w:val="en-US"/>
        </w:rPr>
        <w:t>COM/2022/230 final</w:t>
      </w:r>
      <w:r>
        <w:rPr>
          <w:rFonts w:ascii="Roboto" w:hAnsi="Roboto"/>
          <w:color w:val="333333"/>
          <w:sz w:val="21"/>
          <w:szCs w:val="21"/>
          <w:lang w:val="en-US"/>
        </w:rPr>
        <w:t xml:space="preserve"> - </w:t>
      </w:r>
      <w:hyperlink r:id="rId8" w:history="1">
        <w:r w:rsidRPr="00411AD7">
          <w:rPr>
            <w:rStyle w:val="Lienhypertexte"/>
            <w:lang w:val="en-US"/>
          </w:rPr>
          <w:t>https://eur-lex.europa.eu/legal-content/EN/TXT/?uri=COM%3A2022%3A230%3AFIN&amp;qid=1653033742483</w:t>
        </w:r>
      </w:hyperlink>
      <w:r>
        <w:rPr>
          <w:b/>
          <w:lang w:val="en-US"/>
        </w:rPr>
        <w:t xml:space="preserve"> </w:t>
      </w:r>
    </w:p>
    <w:p w:rsidR="00F5629E" w:rsidRDefault="00F5629E" w:rsidP="00411AD7">
      <w:pPr>
        <w:pStyle w:val="title-bold"/>
        <w:shd w:val="clear" w:color="auto" w:fill="FFFFFF"/>
        <w:spacing w:before="0" w:beforeAutospacing="0" w:after="75" w:afterAutospacing="0"/>
        <w:jc w:val="both"/>
        <w:rPr>
          <w:rFonts w:ascii="Roboto" w:hAnsi="Roboto"/>
          <w:b/>
          <w:bCs/>
          <w:color w:val="333333"/>
          <w:sz w:val="21"/>
          <w:szCs w:val="21"/>
          <w:shd w:val="clear" w:color="auto" w:fill="FFFFFF"/>
          <w:lang w:val="en-US"/>
        </w:rPr>
      </w:pPr>
    </w:p>
    <w:p w:rsidR="00411AD7" w:rsidRPr="00F5629E" w:rsidRDefault="00F5629E" w:rsidP="00411AD7">
      <w:pPr>
        <w:pStyle w:val="title-bold"/>
        <w:shd w:val="clear" w:color="auto" w:fill="FFFFFF"/>
        <w:spacing w:before="0" w:beforeAutospacing="0" w:after="75" w:afterAutospacing="0"/>
        <w:jc w:val="both"/>
        <w:rPr>
          <w:b/>
          <w:lang w:val="en-US"/>
        </w:rPr>
      </w:pPr>
      <w:r w:rsidRPr="00F5629E">
        <w:rPr>
          <w:rFonts w:ascii="Roboto" w:hAnsi="Roboto"/>
          <w:b/>
          <w:bCs/>
          <w:color w:val="333333"/>
          <w:sz w:val="21"/>
          <w:szCs w:val="21"/>
          <w:shd w:val="clear" w:color="auto" w:fill="FFFFFF"/>
          <w:lang w:val="en-US"/>
        </w:rPr>
        <w:t xml:space="preserve">COMMUNICATION FROM THE COMMISSION TO THE EUROPEAN PARLIAMENT, THE COUNCIL, THE EUROPEAN ECONOMIC AND SOCIAL COMMITTEE AND THE COMMITTEE OF THE REGIONS Sustainable and Smart Mobility Strategy – putting European </w:t>
      </w:r>
      <w:r w:rsidRPr="00F5629E">
        <w:rPr>
          <w:rFonts w:ascii="Roboto" w:hAnsi="Roboto"/>
          <w:b/>
          <w:bCs/>
          <w:color w:val="333333"/>
          <w:sz w:val="21"/>
          <w:szCs w:val="21"/>
          <w:shd w:val="clear" w:color="auto" w:fill="FFFFFF"/>
          <w:lang w:val="en-US"/>
        </w:rPr>
        <w:lastRenderedPageBreak/>
        <w:t xml:space="preserve">transport on track for the </w:t>
      </w:r>
      <w:proofErr w:type="gramStart"/>
      <w:r w:rsidRPr="00F5629E">
        <w:rPr>
          <w:rFonts w:ascii="Roboto" w:hAnsi="Roboto"/>
          <w:b/>
          <w:bCs/>
          <w:color w:val="333333"/>
          <w:sz w:val="21"/>
          <w:szCs w:val="21"/>
          <w:shd w:val="clear" w:color="auto" w:fill="FFFFFF"/>
          <w:lang w:val="en-US"/>
        </w:rPr>
        <w:t>future</w:t>
      </w:r>
      <w:r>
        <w:rPr>
          <w:rFonts w:ascii="Roboto" w:hAnsi="Roboto"/>
          <w:b/>
          <w:bCs/>
          <w:color w:val="333333"/>
          <w:sz w:val="21"/>
          <w:szCs w:val="21"/>
          <w:shd w:val="clear" w:color="auto" w:fill="FFFFFF"/>
          <w:lang w:val="en-US"/>
        </w:rPr>
        <w:t xml:space="preserve"> :</w:t>
      </w:r>
      <w:proofErr w:type="gramEnd"/>
      <w:r>
        <w:rPr>
          <w:rFonts w:ascii="Roboto" w:hAnsi="Roboto"/>
          <w:b/>
          <w:bCs/>
          <w:color w:val="333333"/>
          <w:sz w:val="21"/>
          <w:szCs w:val="21"/>
          <w:shd w:val="clear" w:color="auto" w:fill="FFFFFF"/>
          <w:lang w:val="en-US"/>
        </w:rPr>
        <w:t xml:space="preserve"> </w:t>
      </w:r>
      <w:hyperlink r:id="rId9" w:history="1">
        <w:r w:rsidRPr="006B77B8">
          <w:rPr>
            <w:rStyle w:val="Lienhypertexte"/>
            <w:rFonts w:ascii="Roboto" w:hAnsi="Roboto"/>
            <w:b/>
            <w:bCs/>
            <w:sz w:val="21"/>
            <w:szCs w:val="21"/>
            <w:shd w:val="clear" w:color="auto" w:fill="FFFFFF"/>
            <w:lang w:val="en-US"/>
          </w:rPr>
          <w:t>https://eur-lex.europa.eu/legal-content/EN/TXT/?uri=CELEX%3A52020DC0789</w:t>
        </w:r>
      </w:hyperlink>
      <w:r>
        <w:rPr>
          <w:rFonts w:ascii="Roboto" w:hAnsi="Roboto"/>
          <w:b/>
          <w:bCs/>
          <w:color w:val="333333"/>
          <w:sz w:val="21"/>
          <w:szCs w:val="21"/>
          <w:shd w:val="clear" w:color="auto" w:fill="FFFFFF"/>
          <w:lang w:val="en-US"/>
        </w:rPr>
        <w:t xml:space="preserve"> </w:t>
      </w:r>
    </w:p>
    <w:p w:rsidR="00411AD7" w:rsidRPr="00411AD7" w:rsidRDefault="00411AD7" w:rsidP="00411AD7">
      <w:pPr>
        <w:pStyle w:val="title-bold"/>
        <w:shd w:val="clear" w:color="auto" w:fill="FFFFFF"/>
        <w:spacing w:before="0" w:beforeAutospacing="0" w:after="75" w:afterAutospacing="0"/>
        <w:jc w:val="both"/>
        <w:rPr>
          <w:b/>
          <w:lang w:val="en-US"/>
        </w:rPr>
      </w:pPr>
    </w:p>
    <w:p w:rsidR="00AE47CC" w:rsidRDefault="00AE47CC" w:rsidP="00AE47CC">
      <w:pPr>
        <w:pStyle w:val="Paragraphedeliste"/>
        <w:numPr>
          <w:ilvl w:val="0"/>
          <w:numId w:val="3"/>
        </w:numPr>
        <w:rPr>
          <w:b/>
          <w:sz w:val="24"/>
          <w:szCs w:val="24"/>
        </w:rPr>
      </w:pPr>
      <w:r w:rsidRPr="00E60B0F">
        <w:rPr>
          <w:b/>
          <w:sz w:val="24"/>
          <w:szCs w:val="24"/>
        </w:rPr>
        <w:t xml:space="preserve">Before the session </w:t>
      </w:r>
      <w:r>
        <w:rPr>
          <w:b/>
          <w:sz w:val="24"/>
          <w:szCs w:val="24"/>
        </w:rPr>
        <w:t>–</w:t>
      </w:r>
      <w:r w:rsidRPr="00E60B0F">
        <w:rPr>
          <w:b/>
          <w:sz w:val="24"/>
          <w:szCs w:val="24"/>
        </w:rPr>
        <w:t xml:space="preserve"> readings</w:t>
      </w:r>
    </w:p>
    <w:p w:rsidR="00411AD7" w:rsidRPr="00761F1A" w:rsidRDefault="00AE47CC" w:rsidP="00411AD7">
      <w:pPr>
        <w:pStyle w:val="NormalWeb"/>
        <w:spacing w:before="200" w:beforeAutospacing="0" w:after="0" w:afterAutospacing="0" w:line="216" w:lineRule="auto"/>
        <w:jc w:val="both"/>
        <w:rPr>
          <w:b/>
          <w:lang w:val="en-US"/>
        </w:rPr>
      </w:pPr>
      <w:r w:rsidRPr="00761F1A">
        <w:rPr>
          <w:b/>
          <w:lang w:val="en-US"/>
        </w:rPr>
        <w:t xml:space="preserve">Doc. 1 </w:t>
      </w:r>
      <w:r w:rsidR="00411AD7" w:rsidRPr="00761F1A">
        <w:rPr>
          <w:b/>
          <w:lang w:val="en-US"/>
        </w:rPr>
        <w:t xml:space="preserve">- </w:t>
      </w:r>
      <w:r w:rsidR="00411AD7" w:rsidRPr="00761F1A">
        <w:rPr>
          <w:rFonts w:asciiTheme="minorHAnsi" w:eastAsiaTheme="minorEastAsia" w:hAnsi="Calibri" w:cstheme="minorBidi"/>
          <w:b/>
          <w:bCs/>
          <w:color w:val="000000" w:themeColor="text1"/>
          <w:kern w:val="24"/>
          <w:lang w:val="en-US"/>
        </w:rPr>
        <w:t xml:space="preserve">CJUE, 15 July 2021, </w:t>
      </w:r>
      <w:r w:rsidR="00411AD7" w:rsidRPr="00761F1A">
        <w:rPr>
          <w:rFonts w:asciiTheme="minorHAnsi" w:eastAsiaTheme="minorEastAsia" w:hAnsi="Calibri" w:cstheme="minorBidi"/>
          <w:b/>
          <w:bCs/>
          <w:i/>
          <w:iCs/>
          <w:color w:val="000000" w:themeColor="text1"/>
          <w:kern w:val="24"/>
          <w:lang w:val="en-US"/>
        </w:rPr>
        <w:t>Germany c. Poland and Commission</w:t>
      </w:r>
      <w:r w:rsidR="00411AD7" w:rsidRPr="00761F1A">
        <w:rPr>
          <w:rFonts w:asciiTheme="minorHAnsi" w:eastAsiaTheme="minorEastAsia" w:hAnsi="Calibri" w:cstheme="minorBidi"/>
          <w:b/>
          <w:bCs/>
          <w:color w:val="000000" w:themeColor="text1"/>
          <w:kern w:val="24"/>
          <w:lang w:val="en-US"/>
        </w:rPr>
        <w:t>, case C-848/19 P</w:t>
      </w:r>
    </w:p>
    <w:p w:rsidR="00411AD7" w:rsidRPr="00761F1A" w:rsidRDefault="00411AD7" w:rsidP="00411AD7">
      <w:pPr>
        <w:pStyle w:val="Paragraphedeliste"/>
        <w:ind w:left="720" w:firstLine="0"/>
        <w:rPr>
          <w:b/>
          <w:sz w:val="24"/>
          <w:szCs w:val="24"/>
        </w:rPr>
      </w:pPr>
    </w:p>
    <w:p w:rsidR="00761F1A" w:rsidRPr="00761F1A" w:rsidRDefault="00C9365D" w:rsidP="00761F1A">
      <w:pPr>
        <w:spacing w:after="240" w:line="240" w:lineRule="auto"/>
        <w:jc w:val="both"/>
        <w:rPr>
          <w:rFonts w:ascii="Arial" w:eastAsia="Times New Roman" w:hAnsi="Arial" w:cs="Arial"/>
          <w:b/>
          <w:color w:val="000000"/>
          <w:sz w:val="24"/>
          <w:szCs w:val="24"/>
          <w:lang w:val="es-ES" w:eastAsia="fr-FR"/>
        </w:rPr>
      </w:pPr>
      <w:r w:rsidRPr="00761F1A">
        <w:rPr>
          <w:b/>
          <w:sz w:val="24"/>
          <w:szCs w:val="24"/>
          <w:lang w:val="es-ES"/>
        </w:rPr>
        <w:t xml:space="preserve">Doc. 2 </w:t>
      </w:r>
      <w:r w:rsidR="00411AD7" w:rsidRPr="00761F1A">
        <w:rPr>
          <w:b/>
          <w:sz w:val="24"/>
          <w:szCs w:val="24"/>
          <w:lang w:val="es-ES"/>
        </w:rPr>
        <w:t xml:space="preserve">- </w:t>
      </w:r>
      <w:r w:rsidR="00761F1A" w:rsidRPr="00761F1A">
        <w:rPr>
          <w:b/>
          <w:sz w:val="24"/>
          <w:szCs w:val="24"/>
          <w:lang w:val="es-ES"/>
        </w:rPr>
        <w:t>CJUE, 20 december 2017, C-434/</w:t>
      </w:r>
      <w:proofErr w:type="gramStart"/>
      <w:r w:rsidR="00761F1A" w:rsidRPr="00761F1A">
        <w:rPr>
          <w:b/>
          <w:sz w:val="24"/>
          <w:szCs w:val="24"/>
          <w:lang w:val="es-ES"/>
        </w:rPr>
        <w:t xml:space="preserve">15,  </w:t>
      </w:r>
      <w:r w:rsidR="00761F1A" w:rsidRPr="00761F1A">
        <w:rPr>
          <w:rFonts w:ascii="Arial" w:eastAsia="Times New Roman" w:hAnsi="Arial" w:cs="Arial"/>
          <w:b/>
          <w:bCs/>
          <w:color w:val="000000"/>
          <w:sz w:val="24"/>
          <w:szCs w:val="24"/>
          <w:lang w:val="es-ES" w:eastAsia="fr-FR"/>
        </w:rPr>
        <w:t>Asociación</w:t>
      </w:r>
      <w:proofErr w:type="gramEnd"/>
      <w:r w:rsidR="00761F1A" w:rsidRPr="00761F1A">
        <w:rPr>
          <w:rFonts w:ascii="Arial" w:eastAsia="Times New Roman" w:hAnsi="Arial" w:cs="Arial"/>
          <w:b/>
          <w:bCs/>
          <w:color w:val="000000"/>
          <w:sz w:val="24"/>
          <w:szCs w:val="24"/>
          <w:lang w:val="es-ES" w:eastAsia="fr-FR"/>
        </w:rPr>
        <w:t xml:space="preserve"> Profesional Élite Taxi c. Asociación Profesional É</w:t>
      </w:r>
      <w:bookmarkStart w:id="0" w:name="_GoBack"/>
      <w:bookmarkEnd w:id="0"/>
      <w:r w:rsidR="00761F1A" w:rsidRPr="00761F1A">
        <w:rPr>
          <w:rFonts w:ascii="Arial" w:eastAsia="Times New Roman" w:hAnsi="Arial" w:cs="Arial"/>
          <w:b/>
          <w:bCs/>
          <w:color w:val="000000"/>
          <w:sz w:val="24"/>
          <w:szCs w:val="24"/>
          <w:lang w:val="es-ES" w:eastAsia="fr-FR"/>
        </w:rPr>
        <w:t>lite Taxi, Uber Spain</w:t>
      </w:r>
    </w:p>
    <w:p w:rsidR="00761F1A" w:rsidRPr="00761F1A" w:rsidRDefault="00411AD7" w:rsidP="00761F1A">
      <w:pPr>
        <w:rPr>
          <w:b/>
          <w:sz w:val="24"/>
          <w:szCs w:val="24"/>
          <w:lang w:val="en-US"/>
        </w:rPr>
      </w:pPr>
      <w:r w:rsidRPr="00761F1A">
        <w:rPr>
          <w:b/>
          <w:sz w:val="24"/>
          <w:szCs w:val="24"/>
          <w:lang w:val="en-US"/>
        </w:rPr>
        <w:t xml:space="preserve">Doc. 3 - </w:t>
      </w:r>
      <w:r w:rsidR="00761F1A" w:rsidRPr="00761F1A">
        <w:rPr>
          <w:b/>
          <w:sz w:val="24"/>
          <w:szCs w:val="24"/>
          <w:lang w:val="en-US"/>
        </w:rPr>
        <w:t xml:space="preserve">General Court (Trib. UE), 8 </w:t>
      </w:r>
      <w:proofErr w:type="gramStart"/>
      <w:r w:rsidR="00761F1A" w:rsidRPr="00761F1A">
        <w:rPr>
          <w:b/>
          <w:sz w:val="24"/>
          <w:szCs w:val="24"/>
          <w:lang w:val="en-US"/>
        </w:rPr>
        <w:t>february</w:t>
      </w:r>
      <w:proofErr w:type="gramEnd"/>
      <w:r w:rsidR="00761F1A" w:rsidRPr="00761F1A">
        <w:rPr>
          <w:b/>
          <w:sz w:val="24"/>
          <w:szCs w:val="24"/>
          <w:lang w:val="en-US"/>
        </w:rPr>
        <w:t xml:space="preserve"> 2023, T-295/20, Aquind LtD</w:t>
      </w:r>
    </w:p>
    <w:p w:rsidR="00DF6CDB" w:rsidRPr="00297478" w:rsidRDefault="00DF6CDB" w:rsidP="00E23D27">
      <w:pPr>
        <w:rPr>
          <w:b/>
          <w:sz w:val="24"/>
          <w:szCs w:val="24"/>
          <w:lang w:val="en-US"/>
        </w:rPr>
      </w:pPr>
    </w:p>
    <w:p w:rsidR="00DF6CDB" w:rsidRPr="00297478" w:rsidRDefault="00DF6CDB" w:rsidP="00DF6CDB">
      <w:pPr>
        <w:pStyle w:val="NormalWeb"/>
        <w:spacing w:before="200" w:beforeAutospacing="0" w:after="0" w:afterAutospacing="0" w:line="216" w:lineRule="auto"/>
        <w:jc w:val="both"/>
        <w:rPr>
          <w:lang w:val="en-US"/>
        </w:rPr>
      </w:pPr>
      <w:r w:rsidRPr="00297478">
        <w:rPr>
          <w:b/>
          <w:lang w:val="en-US"/>
        </w:rPr>
        <w:t xml:space="preserve">Doc. 1 - </w:t>
      </w:r>
      <w:r w:rsidRPr="00DF6CDB">
        <w:rPr>
          <w:rFonts w:asciiTheme="minorHAnsi" w:eastAsiaTheme="minorEastAsia" w:hAnsi="Calibri" w:cstheme="minorBidi"/>
          <w:b/>
          <w:bCs/>
          <w:color w:val="000000" w:themeColor="text1"/>
          <w:kern w:val="24"/>
          <w:sz w:val="26"/>
          <w:szCs w:val="26"/>
          <w:lang w:val="en-US"/>
        </w:rPr>
        <w:t xml:space="preserve">CJUE, 15 July 2021, </w:t>
      </w:r>
      <w:r w:rsidRPr="00DF6CDB">
        <w:rPr>
          <w:rFonts w:asciiTheme="minorHAnsi" w:eastAsiaTheme="minorEastAsia" w:hAnsi="Calibri" w:cstheme="minorBidi"/>
          <w:b/>
          <w:bCs/>
          <w:i/>
          <w:iCs/>
          <w:color w:val="000000" w:themeColor="text1"/>
          <w:kern w:val="24"/>
          <w:sz w:val="26"/>
          <w:szCs w:val="26"/>
          <w:lang w:val="en-US"/>
        </w:rPr>
        <w:t>Germany c. Poland and Commission</w:t>
      </w:r>
      <w:r w:rsidRPr="00DF6CDB">
        <w:rPr>
          <w:rFonts w:asciiTheme="minorHAnsi" w:eastAsiaTheme="minorEastAsia" w:hAnsi="Calibri" w:cstheme="minorBidi"/>
          <w:b/>
          <w:bCs/>
          <w:color w:val="000000" w:themeColor="text1"/>
          <w:kern w:val="24"/>
          <w:sz w:val="26"/>
          <w:szCs w:val="26"/>
          <w:lang w:val="en-US"/>
        </w:rPr>
        <w:t>, case C-848/19 P</w:t>
      </w:r>
    </w:p>
    <w:p w:rsidR="00DF6CDB" w:rsidRPr="00297478" w:rsidRDefault="00DF6CDB" w:rsidP="00E23D27">
      <w:pPr>
        <w:rPr>
          <w:b/>
          <w:sz w:val="24"/>
          <w:szCs w:val="24"/>
          <w:lang w:val="en-US"/>
        </w:rPr>
      </w:pPr>
    </w:p>
    <w:p w:rsidR="00DF6CDB" w:rsidRPr="00297478" w:rsidRDefault="00DF6CDB" w:rsidP="00761F1A">
      <w:pPr>
        <w:spacing w:before="600" w:after="560" w:line="240" w:lineRule="auto"/>
        <w:jc w:val="center"/>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(Appeal – Article 194(1) TFEU – Principle of energy solidarity – Directive 2009/73/EC – Internal market in natural gas – Article 36(1) – Decision of the European Commission on review of the exemption of the OPAL pipeline from the requirements on third-party access and tariff regulation following a request by the German regulatory authority – Action for annulment)</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In Case C</w:t>
      </w:r>
      <w:r w:rsidRPr="00297478">
        <w:rPr>
          <w:rFonts w:ascii="Arial" w:eastAsia="Times New Roman" w:hAnsi="Arial" w:cs="Arial"/>
          <w:color w:val="000000"/>
          <w:sz w:val="18"/>
          <w:szCs w:val="18"/>
          <w:lang w:val="en-US" w:eastAsia="fr-FR"/>
        </w:rPr>
        <w:noBreakHyphen/>
        <w:t>848/19 P,</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APPEAL under Article 56 of the Statute of the Court of Justice of the European Union, brought on 20 November 2019,</w:t>
      </w:r>
    </w:p>
    <w:p w:rsidR="00DF6CDB" w:rsidRPr="00297478" w:rsidRDefault="00DF6CDB" w:rsidP="00DF6CDB">
      <w:pPr>
        <w:spacing w:after="240" w:line="240" w:lineRule="auto"/>
        <w:ind w:left="567"/>
        <w:jc w:val="center"/>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THE COURT (Grand Chamber),</w:t>
      </w:r>
    </w:p>
    <w:p w:rsidR="00DF6CDB" w:rsidRPr="00DF6CDB" w:rsidRDefault="00DF6CDB" w:rsidP="00761F1A">
      <w:pPr>
        <w:spacing w:after="240" w:line="240" w:lineRule="auto"/>
        <w:jc w:val="both"/>
        <w:rPr>
          <w:rFonts w:ascii="Arial" w:eastAsia="Times New Roman" w:hAnsi="Arial" w:cs="Arial"/>
          <w:color w:val="000000"/>
          <w:sz w:val="18"/>
          <w:szCs w:val="18"/>
          <w:lang w:eastAsia="fr-FR"/>
        </w:rPr>
      </w:pPr>
      <w:proofErr w:type="gramStart"/>
      <w:r w:rsidRPr="00DF6CDB">
        <w:rPr>
          <w:rFonts w:ascii="Arial" w:eastAsia="Times New Roman" w:hAnsi="Arial" w:cs="Arial"/>
          <w:color w:val="000000"/>
          <w:sz w:val="18"/>
          <w:szCs w:val="18"/>
          <w:lang w:eastAsia="fr-FR"/>
        </w:rPr>
        <w:t>composed</w:t>
      </w:r>
      <w:proofErr w:type="gramEnd"/>
      <w:r w:rsidRPr="00DF6CDB">
        <w:rPr>
          <w:rFonts w:ascii="Arial" w:eastAsia="Times New Roman" w:hAnsi="Arial" w:cs="Arial"/>
          <w:color w:val="000000"/>
          <w:sz w:val="18"/>
          <w:szCs w:val="18"/>
          <w:lang w:eastAsia="fr-FR"/>
        </w:rPr>
        <w:t xml:space="preserve"> of K. Lenaerts, President, R. Silva de Lapuerta, Vice-President, J.-C. Bonichot, A. Arabadjiev, E. Regan, N. Piçarra and A. Kumin, Presidents of Chambers, C. Toader (Rapporteur), D. Šváby, S. Rodin, F. Biltgen, K. Jürimäe, P.G. Xuereb, L.S. Rossi and I. Jarukaitis, Judges,</w:t>
      </w:r>
    </w:p>
    <w:p w:rsidR="00DF6CDB" w:rsidRPr="00297478" w:rsidRDefault="00DF6CDB" w:rsidP="00761F1A">
      <w:pPr>
        <w:spacing w:after="240" w:line="240" w:lineRule="auto"/>
        <w:jc w:val="both"/>
        <w:rPr>
          <w:rFonts w:ascii="Arial" w:eastAsia="Times New Roman" w:hAnsi="Arial" w:cs="Arial"/>
          <w:color w:val="000000"/>
          <w:sz w:val="18"/>
          <w:szCs w:val="18"/>
          <w:lang w:val="es-ES" w:eastAsia="fr-FR"/>
        </w:rPr>
      </w:pPr>
      <w:r w:rsidRPr="00297478">
        <w:rPr>
          <w:rFonts w:ascii="Arial" w:eastAsia="Times New Roman" w:hAnsi="Arial" w:cs="Arial"/>
          <w:color w:val="000000"/>
          <w:sz w:val="18"/>
          <w:szCs w:val="18"/>
          <w:lang w:val="es-ES" w:eastAsia="fr-FR"/>
        </w:rPr>
        <w:t>Advocate General: M. Campos Sánchez-Bordona,</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Registrar: M. Aleksejev, Head of Unit,</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0000"/>
          <w:sz w:val="18"/>
          <w:szCs w:val="18"/>
          <w:lang w:val="en-US" w:eastAsia="fr-FR"/>
        </w:rPr>
        <w:t>having</w:t>
      </w:r>
      <w:proofErr w:type="gramEnd"/>
      <w:r w:rsidRPr="00297478">
        <w:rPr>
          <w:rFonts w:ascii="Arial" w:eastAsia="Times New Roman" w:hAnsi="Arial" w:cs="Arial"/>
          <w:color w:val="000000"/>
          <w:sz w:val="18"/>
          <w:szCs w:val="18"/>
          <w:lang w:val="en-US" w:eastAsia="fr-FR"/>
        </w:rPr>
        <w:t xml:space="preserve"> regard to the written procedure and further to the hearing on 13 January 2021,</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0000"/>
          <w:sz w:val="18"/>
          <w:szCs w:val="18"/>
          <w:lang w:val="en-US" w:eastAsia="fr-FR"/>
        </w:rPr>
        <w:t>after</w:t>
      </w:r>
      <w:proofErr w:type="gramEnd"/>
      <w:r w:rsidRPr="00297478">
        <w:rPr>
          <w:rFonts w:ascii="Arial" w:eastAsia="Times New Roman" w:hAnsi="Arial" w:cs="Arial"/>
          <w:color w:val="000000"/>
          <w:sz w:val="18"/>
          <w:szCs w:val="18"/>
          <w:lang w:val="en-US" w:eastAsia="fr-FR"/>
        </w:rPr>
        <w:t xml:space="preserve"> hearing the Opinion of the Advocate General at the sitting on 18 March 2021,</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0000"/>
          <w:sz w:val="18"/>
          <w:szCs w:val="18"/>
          <w:lang w:val="en-US" w:eastAsia="fr-FR"/>
        </w:rPr>
        <w:t>gives</w:t>
      </w:r>
      <w:proofErr w:type="gramEnd"/>
      <w:r w:rsidRPr="00297478">
        <w:rPr>
          <w:rFonts w:ascii="Arial" w:eastAsia="Times New Roman" w:hAnsi="Arial" w:cs="Arial"/>
          <w:color w:val="000000"/>
          <w:sz w:val="18"/>
          <w:szCs w:val="18"/>
          <w:lang w:val="en-US" w:eastAsia="fr-FR"/>
        </w:rPr>
        <w:t xml:space="preserve"> the following</w:t>
      </w:r>
    </w:p>
    <w:p w:rsidR="00DF6CDB" w:rsidRPr="00297478" w:rsidRDefault="00DF6CDB" w:rsidP="00761F1A">
      <w:pPr>
        <w:spacing w:before="480" w:after="480" w:line="240" w:lineRule="auto"/>
        <w:jc w:val="center"/>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Judgment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 w:name="point1"/>
      <w:proofErr w:type="gramStart"/>
      <w:r w:rsidRPr="00297478">
        <w:rPr>
          <w:rFonts w:ascii="Arial" w:eastAsia="Times New Roman" w:hAnsi="Arial" w:cs="Arial"/>
          <w:color w:val="006699"/>
          <w:sz w:val="18"/>
          <w:szCs w:val="18"/>
          <w:lang w:val="en-US" w:eastAsia="fr-FR"/>
        </w:rPr>
        <w:t>1</w:t>
      </w:r>
      <w:bookmarkEnd w:id="1"/>
      <w:r w:rsidRPr="00297478">
        <w:rPr>
          <w:rFonts w:ascii="Arial" w:eastAsia="Times New Roman" w:hAnsi="Arial" w:cs="Arial"/>
          <w:color w:val="000000"/>
          <w:sz w:val="18"/>
          <w:szCs w:val="18"/>
          <w:lang w:val="en-US" w:eastAsia="fr-FR"/>
        </w:rPr>
        <w:t>        By its appeal, the Federal Republic of Germany seeks to have set aside the judgment of the General Court of the European Union of 10 September 2019, </w:t>
      </w:r>
      <w:r w:rsidRPr="00297478">
        <w:rPr>
          <w:rFonts w:ascii="Arial" w:eastAsia="Times New Roman" w:hAnsi="Arial" w:cs="Arial"/>
          <w:i/>
          <w:iCs/>
          <w:color w:val="000000"/>
          <w:sz w:val="18"/>
          <w:szCs w:val="18"/>
          <w:lang w:val="en-US" w:eastAsia="fr-FR"/>
        </w:rPr>
        <w:t>Poland</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883/16, EU:T:2019:567, ‘the judgment under appeal’), by which the General Court annulled Commission Decision C(2016) 6950 final of 28 October 2016 (‘the decision at issue’) on review of the exemption of the Baltic Sea Pipeline Connector (‘the OPAL pipeline’) from the requirements on third-party access and tariff regulation granted under Directive 2003/55/EC of the European Parliament and of the Council of 26 June 2003 concerning common rules for the internal market in natural gas and repealing Directive 98/30/EC (OJ 2003 L 176, p. 57).</w:t>
      </w:r>
      <w:proofErr w:type="gramEnd"/>
    </w:p>
    <w:p w:rsidR="00DF6CDB" w:rsidRPr="00297478" w:rsidRDefault="00DF6CDB"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lastRenderedPageBreak/>
        <w:t> Legal context</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European Union law</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 w:name="point2"/>
      <w:r w:rsidRPr="00297478">
        <w:rPr>
          <w:rFonts w:ascii="Arial" w:eastAsia="Times New Roman" w:hAnsi="Arial" w:cs="Arial"/>
          <w:color w:val="006699"/>
          <w:sz w:val="18"/>
          <w:szCs w:val="18"/>
          <w:lang w:val="en-US" w:eastAsia="fr-FR"/>
        </w:rPr>
        <w:t>2</w:t>
      </w:r>
      <w:bookmarkEnd w:id="2"/>
      <w:r w:rsidRPr="00297478">
        <w:rPr>
          <w:rFonts w:ascii="Arial" w:eastAsia="Times New Roman" w:hAnsi="Arial" w:cs="Arial"/>
          <w:color w:val="000000"/>
          <w:sz w:val="18"/>
          <w:szCs w:val="18"/>
          <w:lang w:val="en-US" w:eastAsia="fr-FR"/>
        </w:rPr>
        <w:t>        Directive 2003/55 was repealed and replaced by Directive 2009/73/EC of the European Parliament and of the Council of 13 July 2009 concerning common rules for the internal market in natural gas and repealing Directive 2003/55/EC (OJ 2009 L 211, p. 94).</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 w:name="point3"/>
      <w:r w:rsidRPr="00297478">
        <w:rPr>
          <w:rFonts w:ascii="Arial" w:eastAsia="Times New Roman" w:hAnsi="Arial" w:cs="Arial"/>
          <w:color w:val="006699"/>
          <w:sz w:val="18"/>
          <w:szCs w:val="18"/>
          <w:lang w:val="en-US" w:eastAsia="fr-FR"/>
        </w:rPr>
        <w:t>3</w:t>
      </w:r>
      <w:bookmarkEnd w:id="3"/>
      <w:r w:rsidRPr="00297478">
        <w:rPr>
          <w:rFonts w:ascii="Arial" w:eastAsia="Times New Roman" w:hAnsi="Arial" w:cs="Arial"/>
          <w:color w:val="000000"/>
          <w:sz w:val="18"/>
          <w:szCs w:val="18"/>
          <w:lang w:val="en-US" w:eastAsia="fr-FR"/>
        </w:rPr>
        <w:t xml:space="preserve">        Article 32 of Directive 2009/73, entitled ‘Third-party access’, which is identical to Article 18 of Directive 2003/55, </w:t>
      </w:r>
      <w:proofErr w:type="gramStart"/>
      <w:r w:rsidRPr="00297478">
        <w:rPr>
          <w:rFonts w:ascii="Arial" w:eastAsia="Times New Roman" w:hAnsi="Arial" w:cs="Arial"/>
          <w:color w:val="000000"/>
          <w:sz w:val="18"/>
          <w:szCs w:val="18"/>
          <w:lang w:val="en-US" w:eastAsia="fr-FR"/>
        </w:rPr>
        <w:t>provides:</w:t>
      </w:r>
      <w:proofErr w:type="gramEnd"/>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‘1.      Member States shall ensure the implementation of a system of third party access to the transmission and distribution system, and [liquefied natural gas (LNG)] facilities based on published tariffs, applicable to all eligible customers, including supply undertakings, and applied objectively and without discrimination between system users. Member States shall ensure that those tariffs, or the methodologies underlying their calculation are approved prior to their entry into force in accordance with Article 41 by a regulatory authority referred to in Article 39(1) and that those tariffs – and the methodologies, where only methodologies are approved – are published prior to their entry into force.</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xml:space="preserve">2.      Transmission system operators shall, if necessary </w:t>
      </w:r>
      <w:proofErr w:type="gramStart"/>
      <w:r w:rsidRPr="00297478">
        <w:rPr>
          <w:rFonts w:ascii="Arial" w:eastAsia="Times New Roman" w:hAnsi="Arial" w:cs="Arial"/>
          <w:color w:val="000000"/>
          <w:sz w:val="18"/>
          <w:szCs w:val="18"/>
          <w:lang w:val="en-US" w:eastAsia="fr-FR"/>
        </w:rPr>
        <w:t>for the purpose of</w:t>
      </w:r>
      <w:proofErr w:type="gramEnd"/>
      <w:r w:rsidRPr="00297478">
        <w:rPr>
          <w:rFonts w:ascii="Arial" w:eastAsia="Times New Roman" w:hAnsi="Arial" w:cs="Arial"/>
          <w:color w:val="000000"/>
          <w:sz w:val="18"/>
          <w:szCs w:val="18"/>
          <w:lang w:val="en-US" w:eastAsia="fr-FR"/>
        </w:rPr>
        <w:t xml:space="preserve"> carrying out their functions including in relation to cross-border transmission, have access to the network of other transmission system operators.</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3.      The provisions of this Directive shall not prevent the conclusion of long-term contracts in so far as they comply with Community competition rules.’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 w:name="point4"/>
      <w:proofErr w:type="gramStart"/>
      <w:r w:rsidRPr="00297478">
        <w:rPr>
          <w:rFonts w:ascii="Arial" w:eastAsia="Times New Roman" w:hAnsi="Arial" w:cs="Arial"/>
          <w:color w:val="006699"/>
          <w:sz w:val="18"/>
          <w:szCs w:val="18"/>
          <w:lang w:val="en-US" w:eastAsia="fr-FR"/>
        </w:rPr>
        <w:t>4</w:t>
      </w:r>
      <w:bookmarkEnd w:id="4"/>
      <w:proofErr w:type="gramEnd"/>
      <w:r w:rsidRPr="00297478">
        <w:rPr>
          <w:rFonts w:ascii="Arial" w:eastAsia="Times New Roman" w:hAnsi="Arial" w:cs="Arial"/>
          <w:color w:val="000000"/>
          <w:sz w:val="18"/>
          <w:szCs w:val="18"/>
          <w:lang w:val="en-US" w:eastAsia="fr-FR"/>
        </w:rPr>
        <w:t>        Article 36 of Directive 2009/73, entitled ‘New infrastructure’, which replaced Article 22 of Directive 2003/55, reads as follows:</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‘1.      Major new gas infrastructure, i.e. interconnectors, LNG and storage facilities, may, upon request, be exempted, for a defined period of time, from the provisions of Articles 9, 32, 33 and 34 and Article 41(6), (8) and (10) under the following conditions:</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(a)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investment must enhance competition in gas supply and enhance security of supply;</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(b)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level of risk attached to the investment must be such that the investment would not take place unless an exemption was granted;</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(c)      the infrastructure must be owned by a natural or legal person which is separate at least in terms of its legal form from the system operators in whose systems that infrastructure will be built;</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(d)      </w:t>
      </w:r>
      <w:proofErr w:type="gramStart"/>
      <w:r w:rsidRPr="00297478">
        <w:rPr>
          <w:rFonts w:ascii="Arial" w:eastAsia="Times New Roman" w:hAnsi="Arial" w:cs="Arial"/>
          <w:color w:val="000000"/>
          <w:sz w:val="18"/>
          <w:szCs w:val="18"/>
          <w:lang w:val="en-US" w:eastAsia="fr-FR"/>
        </w:rPr>
        <w:t>charges</w:t>
      </w:r>
      <w:proofErr w:type="gramEnd"/>
      <w:r w:rsidRPr="00297478">
        <w:rPr>
          <w:rFonts w:ascii="Arial" w:eastAsia="Times New Roman" w:hAnsi="Arial" w:cs="Arial"/>
          <w:color w:val="000000"/>
          <w:sz w:val="18"/>
          <w:szCs w:val="18"/>
          <w:lang w:val="en-US" w:eastAsia="fr-FR"/>
        </w:rPr>
        <w:t xml:space="preserve"> must be levied on users of that infrastructure; and</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(e)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exemption must not be detrimental to competition or the effective functioning of the internal market in natural gas, or the efficient functioning of the regulated system to which the infrastructure is connected.</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xml:space="preserve">3.      The [national regulatory authority] </w:t>
      </w:r>
      <w:proofErr w:type="gramStart"/>
      <w:r w:rsidRPr="00297478">
        <w:rPr>
          <w:rFonts w:ascii="Arial" w:eastAsia="Times New Roman" w:hAnsi="Arial" w:cs="Arial"/>
          <w:color w:val="000000"/>
          <w:sz w:val="18"/>
          <w:szCs w:val="18"/>
          <w:lang w:val="en-US" w:eastAsia="fr-FR"/>
        </w:rPr>
        <w:t>may, on a case-by-case basis, decide</w:t>
      </w:r>
      <w:proofErr w:type="gramEnd"/>
      <w:r w:rsidRPr="00297478">
        <w:rPr>
          <w:rFonts w:ascii="Arial" w:eastAsia="Times New Roman" w:hAnsi="Arial" w:cs="Arial"/>
          <w:color w:val="000000"/>
          <w:sz w:val="18"/>
          <w:szCs w:val="18"/>
          <w:lang w:val="en-US" w:eastAsia="fr-FR"/>
        </w:rPr>
        <w:t xml:space="preserve"> on the exemption referred to in paragraphs 1 and 2.</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6.      An exemption may cover all or part of the capacity of the new infrastructure, or of the existing infrastructure with significantly increased capacity.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xml:space="preserve">In deciding to grant an exemption, consideration </w:t>
      </w:r>
      <w:proofErr w:type="gramStart"/>
      <w:r w:rsidRPr="00297478">
        <w:rPr>
          <w:rFonts w:ascii="Arial" w:eastAsia="Times New Roman" w:hAnsi="Arial" w:cs="Arial"/>
          <w:color w:val="000000"/>
          <w:sz w:val="18"/>
          <w:szCs w:val="18"/>
          <w:lang w:val="en-US" w:eastAsia="fr-FR"/>
        </w:rPr>
        <w:t>shall be given</w:t>
      </w:r>
      <w:proofErr w:type="gramEnd"/>
      <w:r w:rsidRPr="00297478">
        <w:rPr>
          <w:rFonts w:ascii="Arial" w:eastAsia="Times New Roman" w:hAnsi="Arial" w:cs="Arial"/>
          <w:color w:val="000000"/>
          <w:sz w:val="18"/>
          <w:szCs w:val="18"/>
          <w:lang w:val="en-US" w:eastAsia="fr-FR"/>
        </w:rPr>
        <w:t xml:space="preserve">, on a case-by-case basis, to the need to impose conditions regarding the duration of the exemption and non-discriminatory access to the infrastructure. When deciding on those conditions, account </w:t>
      </w:r>
      <w:proofErr w:type="gramStart"/>
      <w:r w:rsidRPr="00297478">
        <w:rPr>
          <w:rFonts w:ascii="Arial" w:eastAsia="Times New Roman" w:hAnsi="Arial" w:cs="Arial"/>
          <w:color w:val="000000"/>
          <w:sz w:val="18"/>
          <w:szCs w:val="18"/>
          <w:lang w:val="en-US" w:eastAsia="fr-FR"/>
        </w:rPr>
        <w:t>shall, in particular, be taken</w:t>
      </w:r>
      <w:proofErr w:type="gramEnd"/>
      <w:r w:rsidRPr="00297478">
        <w:rPr>
          <w:rFonts w:ascii="Arial" w:eastAsia="Times New Roman" w:hAnsi="Arial" w:cs="Arial"/>
          <w:color w:val="000000"/>
          <w:sz w:val="18"/>
          <w:szCs w:val="18"/>
          <w:lang w:val="en-US" w:eastAsia="fr-FR"/>
        </w:rPr>
        <w:t xml:space="preserve"> of the additional capacity to be built or the modification of existing capacity, the time horizon of the project and national circumstances.</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w:t>
      </w:r>
    </w:p>
    <w:p w:rsidR="00DF6CDB" w:rsidRPr="00DF6CDB" w:rsidRDefault="00DF6CDB" w:rsidP="00761F1A">
      <w:pPr>
        <w:spacing w:after="240" w:line="240" w:lineRule="auto"/>
        <w:jc w:val="both"/>
        <w:rPr>
          <w:rFonts w:ascii="Arial" w:eastAsia="Times New Roman" w:hAnsi="Arial" w:cs="Arial"/>
          <w:color w:val="000000"/>
          <w:sz w:val="18"/>
          <w:szCs w:val="18"/>
          <w:lang w:eastAsia="fr-FR"/>
        </w:rPr>
      </w:pPr>
      <w:r w:rsidRPr="00297478">
        <w:rPr>
          <w:rFonts w:ascii="Arial" w:eastAsia="Times New Roman" w:hAnsi="Arial" w:cs="Arial"/>
          <w:color w:val="000000"/>
          <w:sz w:val="18"/>
          <w:szCs w:val="18"/>
          <w:lang w:val="en-US" w:eastAsia="fr-FR"/>
        </w:rPr>
        <w:lastRenderedPageBreak/>
        <w:t xml:space="preserve">8.      The regulatory authority shall transmit to the Commission, </w:t>
      </w:r>
      <w:proofErr w:type="gramStart"/>
      <w:r w:rsidRPr="00297478">
        <w:rPr>
          <w:rFonts w:ascii="Arial" w:eastAsia="Times New Roman" w:hAnsi="Arial" w:cs="Arial"/>
          <w:color w:val="000000"/>
          <w:sz w:val="18"/>
          <w:szCs w:val="18"/>
          <w:lang w:val="en-US" w:eastAsia="fr-FR"/>
        </w:rPr>
        <w:t>without delay</w:t>
      </w:r>
      <w:proofErr w:type="gramEnd"/>
      <w:r w:rsidRPr="00297478">
        <w:rPr>
          <w:rFonts w:ascii="Arial" w:eastAsia="Times New Roman" w:hAnsi="Arial" w:cs="Arial"/>
          <w:color w:val="000000"/>
          <w:sz w:val="18"/>
          <w:szCs w:val="18"/>
          <w:lang w:val="en-US" w:eastAsia="fr-FR"/>
        </w:rPr>
        <w:t xml:space="preserve">, a copy of every request for exemption as of its receipt. The decision shall be notified, </w:t>
      </w:r>
      <w:proofErr w:type="gramStart"/>
      <w:r w:rsidRPr="00297478">
        <w:rPr>
          <w:rFonts w:ascii="Arial" w:eastAsia="Times New Roman" w:hAnsi="Arial" w:cs="Arial"/>
          <w:color w:val="000000"/>
          <w:sz w:val="18"/>
          <w:szCs w:val="18"/>
          <w:lang w:val="en-US" w:eastAsia="fr-FR"/>
        </w:rPr>
        <w:t>without delay</w:t>
      </w:r>
      <w:proofErr w:type="gramEnd"/>
      <w:r w:rsidRPr="00297478">
        <w:rPr>
          <w:rFonts w:ascii="Arial" w:eastAsia="Times New Roman" w:hAnsi="Arial" w:cs="Arial"/>
          <w:color w:val="000000"/>
          <w:sz w:val="18"/>
          <w:szCs w:val="18"/>
          <w:lang w:val="en-US" w:eastAsia="fr-FR"/>
        </w:rPr>
        <w:t xml:space="preserve">, by the competent authority to the Commission, together with all the relevant information with respect to the decision. That information </w:t>
      </w:r>
      <w:proofErr w:type="gramStart"/>
      <w:r w:rsidRPr="00297478">
        <w:rPr>
          <w:rFonts w:ascii="Arial" w:eastAsia="Times New Roman" w:hAnsi="Arial" w:cs="Arial"/>
          <w:color w:val="000000"/>
          <w:sz w:val="18"/>
          <w:szCs w:val="18"/>
          <w:lang w:val="en-US" w:eastAsia="fr-FR"/>
        </w:rPr>
        <w:t>may be submitted</w:t>
      </w:r>
      <w:proofErr w:type="gramEnd"/>
      <w:r w:rsidRPr="00297478">
        <w:rPr>
          <w:rFonts w:ascii="Arial" w:eastAsia="Times New Roman" w:hAnsi="Arial" w:cs="Arial"/>
          <w:color w:val="000000"/>
          <w:sz w:val="18"/>
          <w:szCs w:val="18"/>
          <w:lang w:val="en-US" w:eastAsia="fr-FR"/>
        </w:rPr>
        <w:t xml:space="preserve"> to the Commission in aggregate form, enabling the Commission to reach a well-founded decision. </w:t>
      </w:r>
      <w:r w:rsidRPr="00DF6CDB">
        <w:rPr>
          <w:rFonts w:ascii="Arial" w:eastAsia="Times New Roman" w:hAnsi="Arial" w:cs="Arial"/>
          <w:color w:val="000000"/>
          <w:sz w:val="18"/>
          <w:szCs w:val="18"/>
          <w:lang w:eastAsia="fr-FR"/>
        </w:rPr>
        <w:t>In particular, the information shall contain:</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(a)      the detailed reasons on the basis of which the regulatory authority, or Member State, granted or refused the exemption together with a reference to paragraph 1 including the relevant point or points of that paragraph on which such decision is based, including the financial information justifying the need for the exemption;</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(b)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analysis undertaken of the effect on competition and the effective functioning of the internal market in natural gas resulting from the grant of the exemption;</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(c)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reasons for the time period and the share of the total capacity of the gas infrastructure in question for which the exemption is granted;</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(d)      </w:t>
      </w:r>
      <w:proofErr w:type="gramStart"/>
      <w:r w:rsidRPr="00297478">
        <w:rPr>
          <w:rFonts w:ascii="Arial" w:eastAsia="Times New Roman" w:hAnsi="Arial" w:cs="Arial"/>
          <w:color w:val="000000"/>
          <w:sz w:val="18"/>
          <w:szCs w:val="18"/>
          <w:lang w:val="en-US" w:eastAsia="fr-FR"/>
        </w:rPr>
        <w:t>in</w:t>
      </w:r>
      <w:proofErr w:type="gramEnd"/>
      <w:r w:rsidRPr="00297478">
        <w:rPr>
          <w:rFonts w:ascii="Arial" w:eastAsia="Times New Roman" w:hAnsi="Arial" w:cs="Arial"/>
          <w:color w:val="000000"/>
          <w:sz w:val="18"/>
          <w:szCs w:val="18"/>
          <w:lang w:val="en-US" w:eastAsia="fr-FR"/>
        </w:rPr>
        <w:t xml:space="preserve"> case the exemption relates to an interconnector, the result of the consultation with the regulatory authorities concerned; and</w:t>
      </w:r>
    </w:p>
    <w:p w:rsidR="00DF6CDB" w:rsidRPr="00297478" w:rsidRDefault="00DF6CDB"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(e)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contribution of the infrastructure to the diversification of gas supply.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xml:space="preserve">9.      Within a period of two months from the day following the receipt of a notification, the Commission may take a decision requiring the regulatory authority to amend or withdraw the decision to grant an exemption. That two-month period may be extended by an additional period of two months where </w:t>
      </w:r>
      <w:proofErr w:type="gramStart"/>
      <w:r w:rsidRPr="00297478">
        <w:rPr>
          <w:rFonts w:ascii="Arial" w:eastAsia="Times New Roman" w:hAnsi="Arial" w:cs="Arial"/>
          <w:color w:val="000000"/>
          <w:sz w:val="18"/>
          <w:szCs w:val="18"/>
          <w:lang w:val="en-US" w:eastAsia="fr-FR"/>
        </w:rPr>
        <w:t>further information is sought by the Commission</w:t>
      </w:r>
      <w:proofErr w:type="gramEnd"/>
      <w:r w:rsidRPr="00297478">
        <w:rPr>
          <w:rFonts w:ascii="Arial" w:eastAsia="Times New Roman" w:hAnsi="Arial" w:cs="Arial"/>
          <w:color w:val="000000"/>
          <w:sz w:val="18"/>
          <w:szCs w:val="18"/>
          <w:lang w:val="en-US" w:eastAsia="fr-FR"/>
        </w:rPr>
        <w:t xml:space="preserve">. That additional period shall begin on the day following the receipt of the complete information. The initial two-month period </w:t>
      </w:r>
      <w:proofErr w:type="gramStart"/>
      <w:r w:rsidRPr="00297478">
        <w:rPr>
          <w:rFonts w:ascii="Arial" w:eastAsia="Times New Roman" w:hAnsi="Arial" w:cs="Arial"/>
          <w:color w:val="000000"/>
          <w:sz w:val="18"/>
          <w:szCs w:val="18"/>
          <w:lang w:val="en-US" w:eastAsia="fr-FR"/>
        </w:rPr>
        <w:t>may also be extended</w:t>
      </w:r>
      <w:proofErr w:type="gramEnd"/>
      <w:r w:rsidRPr="00297478">
        <w:rPr>
          <w:rFonts w:ascii="Arial" w:eastAsia="Times New Roman" w:hAnsi="Arial" w:cs="Arial"/>
          <w:color w:val="000000"/>
          <w:sz w:val="18"/>
          <w:szCs w:val="18"/>
          <w:lang w:val="en-US" w:eastAsia="fr-FR"/>
        </w:rPr>
        <w:t xml:space="preserve"> with the consent of both the Commission and the regulatory authority.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The regulatory authority shall comply with the Commission decision to amend or withdraw the exemption decision within a period of one month and shall inform the Commission accordingly.</w:t>
      </w:r>
    </w:p>
    <w:p w:rsidR="00DF6CDB" w:rsidRPr="00DF6CDB" w:rsidRDefault="00DF6CDB" w:rsidP="00761F1A">
      <w:pPr>
        <w:spacing w:after="240" w:line="240" w:lineRule="auto"/>
        <w:jc w:val="both"/>
        <w:rPr>
          <w:rFonts w:ascii="Arial" w:eastAsia="Times New Roman" w:hAnsi="Arial" w:cs="Arial"/>
          <w:color w:val="000000"/>
          <w:sz w:val="18"/>
          <w:szCs w:val="18"/>
          <w:lang w:eastAsia="fr-FR"/>
        </w:rPr>
      </w:pPr>
      <w:r w:rsidRPr="00DF6CDB">
        <w:rPr>
          <w:rFonts w:ascii="Arial" w:eastAsia="Times New Roman" w:hAnsi="Arial" w:cs="Arial"/>
          <w:color w:val="000000"/>
          <w:sz w:val="18"/>
          <w:szCs w:val="18"/>
          <w:lang w:eastAsia="fr-FR"/>
        </w:rPr>
        <w:t>…’</w:t>
      </w:r>
    </w:p>
    <w:p w:rsidR="00DF6CDB" w:rsidRPr="00DF6CDB" w:rsidRDefault="00DF6CDB" w:rsidP="00761F1A">
      <w:pPr>
        <w:spacing w:after="240" w:line="240" w:lineRule="auto"/>
        <w:jc w:val="both"/>
        <w:rPr>
          <w:rFonts w:ascii="Arial" w:eastAsia="Times New Roman" w:hAnsi="Arial" w:cs="Arial"/>
          <w:i/>
          <w:iCs/>
          <w:color w:val="000000"/>
          <w:sz w:val="18"/>
          <w:szCs w:val="18"/>
          <w:lang w:eastAsia="fr-FR"/>
        </w:rPr>
      </w:pPr>
      <w:r w:rsidRPr="00DF6CDB">
        <w:rPr>
          <w:rFonts w:ascii="Arial" w:eastAsia="Times New Roman" w:hAnsi="Arial" w:cs="Arial"/>
          <w:i/>
          <w:iCs/>
          <w:color w:val="000000"/>
          <w:sz w:val="18"/>
          <w:szCs w:val="18"/>
          <w:lang w:eastAsia="fr-FR"/>
        </w:rPr>
        <w:t> </w:t>
      </w:r>
      <w:r w:rsidRPr="00DF6CDB">
        <w:rPr>
          <w:rFonts w:ascii="Arial" w:eastAsia="Times New Roman" w:hAnsi="Arial" w:cs="Arial"/>
          <w:b/>
          <w:bCs/>
          <w:i/>
          <w:iCs/>
          <w:color w:val="000000"/>
          <w:sz w:val="18"/>
          <w:szCs w:val="18"/>
          <w:lang w:eastAsia="fr-FR"/>
        </w:rPr>
        <w:t>German law</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 w:name="point5"/>
      <w:proofErr w:type="gramStart"/>
      <w:r w:rsidRPr="00297478">
        <w:rPr>
          <w:rFonts w:ascii="Arial" w:eastAsia="Times New Roman" w:hAnsi="Arial" w:cs="Arial"/>
          <w:color w:val="006699"/>
          <w:sz w:val="18"/>
          <w:szCs w:val="18"/>
          <w:lang w:val="en-US" w:eastAsia="fr-FR"/>
        </w:rPr>
        <w:t>5</w:t>
      </w:r>
      <w:bookmarkEnd w:id="5"/>
      <w:r w:rsidRPr="00297478">
        <w:rPr>
          <w:rFonts w:ascii="Arial" w:eastAsia="Times New Roman" w:hAnsi="Arial" w:cs="Arial"/>
          <w:color w:val="000000"/>
          <w:sz w:val="18"/>
          <w:szCs w:val="18"/>
          <w:lang w:val="en-US" w:eastAsia="fr-FR"/>
        </w:rPr>
        <w:t>        Paragraph 28a(1) of the Gesetz über die Elektrizitäts- und Gasversorgung (Energiewirtschaftsgesetz – EnWG) (Law on the supply of electricity and gas) of 7 July 2005 (BGBl. 2005 I, p. 1970), in the version applicable to the facts of the present case, allows the Bundesnetzagentur (Federal Network Agency, Germany), in particular, to exempt interconnectors between Germany and other States from the application of the provisions governing third-party access.</w:t>
      </w:r>
      <w:proofErr w:type="gramEnd"/>
      <w:r w:rsidRPr="00297478">
        <w:rPr>
          <w:rFonts w:ascii="Arial" w:eastAsia="Times New Roman" w:hAnsi="Arial" w:cs="Arial"/>
          <w:color w:val="000000"/>
          <w:sz w:val="18"/>
          <w:szCs w:val="18"/>
          <w:lang w:val="en-US" w:eastAsia="fr-FR"/>
        </w:rPr>
        <w:t xml:space="preserve"> The conditions for the application of Paragraph 28a are the same, in essence, as those of Article 36(1) of Directive 2009/73.</w:t>
      </w:r>
    </w:p>
    <w:p w:rsidR="00DF6CDB" w:rsidRPr="00297478" w:rsidRDefault="00DF6CDB"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Background to the dispute and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 w:name="point6"/>
      <w:r w:rsidRPr="00297478">
        <w:rPr>
          <w:rFonts w:ascii="Arial" w:eastAsia="Times New Roman" w:hAnsi="Arial" w:cs="Arial"/>
          <w:color w:val="006699"/>
          <w:sz w:val="18"/>
          <w:szCs w:val="18"/>
          <w:lang w:val="en-US" w:eastAsia="fr-FR"/>
        </w:rPr>
        <w:t>6</w:t>
      </w:r>
      <w:bookmarkEnd w:id="6"/>
      <w:r w:rsidRPr="00297478">
        <w:rPr>
          <w:rFonts w:ascii="Arial" w:eastAsia="Times New Roman" w:hAnsi="Arial" w:cs="Arial"/>
          <w:color w:val="000000"/>
          <w:sz w:val="18"/>
          <w:szCs w:val="18"/>
          <w:lang w:val="en-US" w:eastAsia="fr-FR"/>
        </w:rPr>
        <w:t>        For the purposes of these proceedings, the background to the dispute, as set out in paragraphs 5 to 18 of the judgment under appeal, may be summarised as follows.</w:t>
      </w:r>
    </w:p>
    <w:p w:rsidR="00DF6CDB" w:rsidRPr="00DF6CDB" w:rsidRDefault="00DF6CDB" w:rsidP="00761F1A">
      <w:pPr>
        <w:spacing w:before="100" w:beforeAutospacing="1" w:after="240" w:line="240" w:lineRule="auto"/>
        <w:ind w:hanging="539"/>
        <w:jc w:val="both"/>
        <w:rPr>
          <w:rFonts w:ascii="Arial" w:eastAsia="Times New Roman" w:hAnsi="Arial" w:cs="Arial"/>
          <w:color w:val="000000"/>
          <w:sz w:val="18"/>
          <w:szCs w:val="18"/>
          <w:lang w:eastAsia="fr-FR"/>
        </w:rPr>
      </w:pPr>
      <w:bookmarkStart w:id="7" w:name="point7"/>
      <w:proofErr w:type="gramStart"/>
      <w:r w:rsidRPr="00297478">
        <w:rPr>
          <w:rFonts w:ascii="Arial" w:eastAsia="Times New Roman" w:hAnsi="Arial" w:cs="Arial"/>
          <w:color w:val="006699"/>
          <w:sz w:val="18"/>
          <w:szCs w:val="18"/>
          <w:lang w:val="en-US" w:eastAsia="fr-FR"/>
        </w:rPr>
        <w:t>7</w:t>
      </w:r>
      <w:bookmarkEnd w:id="7"/>
      <w:r w:rsidRPr="00297478">
        <w:rPr>
          <w:rFonts w:ascii="Arial" w:eastAsia="Times New Roman" w:hAnsi="Arial" w:cs="Arial"/>
          <w:color w:val="000000"/>
          <w:sz w:val="18"/>
          <w:szCs w:val="18"/>
          <w:lang w:val="en-US" w:eastAsia="fr-FR"/>
        </w:rPr>
        <w:t>        On 13 March 2009, the Federal Network Agency notified the Commission of two decisions of 25 February 2009 which excluded, for a period of 22 years, the capacities for cross-border transmission of the planned OPAL pipeline, which is the terrestrial section, to the west, of the Nord Stream 1 gas pipeline, from the application of the rules on third-party access laid down in Article 18 of Directive 2003/55, reproduced in Article 32 of Directive 2009/73, and tariff regulation laid down in Article 25(2) to (4) of Directive 2003/55.</w:t>
      </w:r>
      <w:proofErr w:type="gramEnd"/>
      <w:r w:rsidRPr="00297478">
        <w:rPr>
          <w:rFonts w:ascii="Arial" w:eastAsia="Times New Roman" w:hAnsi="Arial" w:cs="Arial"/>
          <w:color w:val="000000"/>
          <w:sz w:val="18"/>
          <w:szCs w:val="18"/>
          <w:lang w:val="en-US" w:eastAsia="fr-FR"/>
        </w:rPr>
        <w:t xml:space="preserve"> The two decisions concerned the shares held by the two owners of the OPAL pipeline. The company operating the 80% share of the OPAL pipeline belonging to one of those two owners is OPAL Gastransport GmbH &amp; Co. </w:t>
      </w:r>
      <w:r w:rsidRPr="00DF6CDB">
        <w:rPr>
          <w:rFonts w:ascii="Arial" w:eastAsia="Times New Roman" w:hAnsi="Arial" w:cs="Arial"/>
          <w:color w:val="000000"/>
          <w:sz w:val="18"/>
          <w:szCs w:val="18"/>
          <w:lang w:eastAsia="fr-FR"/>
        </w:rPr>
        <w:t>KG (‘OGT’).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 w:name="point8"/>
      <w:r w:rsidRPr="00297478">
        <w:rPr>
          <w:rFonts w:ascii="Arial" w:eastAsia="Times New Roman" w:hAnsi="Arial" w:cs="Arial"/>
          <w:color w:val="006699"/>
          <w:sz w:val="18"/>
          <w:szCs w:val="18"/>
          <w:lang w:val="en-US" w:eastAsia="fr-FR"/>
        </w:rPr>
        <w:t>8</w:t>
      </w:r>
      <w:bookmarkEnd w:id="8"/>
      <w:r w:rsidRPr="00297478">
        <w:rPr>
          <w:rFonts w:ascii="Arial" w:eastAsia="Times New Roman" w:hAnsi="Arial" w:cs="Arial"/>
          <w:color w:val="000000"/>
          <w:sz w:val="18"/>
          <w:szCs w:val="18"/>
          <w:lang w:val="en-US" w:eastAsia="fr-FR"/>
        </w:rPr>
        <w:t xml:space="preserve">        By Decision C(2009) 4694 of 12 June 2009, the Commission asked the Federal Network Agency, pursuant to the third subparagraph of Article 22(4) of Directive 2003/55, now Article 36(9) of Directive 2009/73, to vary its decisions of 25 February 2009 by adding two conditions. The first of these concerned a prohibition against an undertaking that is dominant on one or several large markets in natural gas reserving, in a single year, more than 50% of the transport capacities of the OPAL pipeline at the Czech border. </w:t>
      </w:r>
      <w:proofErr w:type="gramStart"/>
      <w:r w:rsidRPr="00297478">
        <w:rPr>
          <w:rFonts w:ascii="Arial" w:eastAsia="Times New Roman" w:hAnsi="Arial" w:cs="Arial"/>
          <w:color w:val="000000"/>
          <w:sz w:val="18"/>
          <w:szCs w:val="18"/>
          <w:lang w:val="en-US" w:eastAsia="fr-FR"/>
        </w:rPr>
        <w:t xml:space="preserve">The second condition introduced an exception to that limit, which could be exceeded in the event of a release to the market, by the undertaking concerned, of an annual volume of 3 billion m³ of gas on the OPAL pipeline under an open, transparent and non-discriminatory </w:t>
      </w:r>
      <w:r w:rsidRPr="00297478">
        <w:rPr>
          <w:rFonts w:ascii="Arial" w:eastAsia="Times New Roman" w:hAnsi="Arial" w:cs="Arial"/>
          <w:color w:val="000000"/>
          <w:sz w:val="18"/>
          <w:szCs w:val="18"/>
          <w:lang w:val="en-US" w:eastAsia="fr-FR"/>
        </w:rPr>
        <w:lastRenderedPageBreak/>
        <w:t>procedure, in so far as, first, the undertaking managing the pipeline or the undertaking required to carry out the programme ensured the availability of corresponding transport capacities and the free choice of the exit point and, second, the form of the gas release and capacity release programmes was subject to the approval of the Federal Network Agency.</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 w:name="point9"/>
      <w:r w:rsidRPr="00297478">
        <w:rPr>
          <w:rFonts w:ascii="Arial" w:eastAsia="Times New Roman" w:hAnsi="Arial" w:cs="Arial"/>
          <w:color w:val="006699"/>
          <w:sz w:val="18"/>
          <w:szCs w:val="18"/>
          <w:lang w:val="en-US" w:eastAsia="fr-FR"/>
        </w:rPr>
        <w:t>9</w:t>
      </w:r>
      <w:bookmarkEnd w:id="9"/>
      <w:r w:rsidRPr="00297478">
        <w:rPr>
          <w:rFonts w:ascii="Arial" w:eastAsia="Times New Roman" w:hAnsi="Arial" w:cs="Arial"/>
          <w:color w:val="000000"/>
          <w:sz w:val="18"/>
          <w:szCs w:val="18"/>
          <w:lang w:val="en-US" w:eastAsia="fr-FR"/>
        </w:rPr>
        <w:t xml:space="preserve">        On 7 July 2009, the Federal Network Agency amended its decisions of 25 February 2009 by incorporating those conditions, and granted the exemption from the rules on third-party access and tariff regulation for a period of 22 years </w:t>
      </w:r>
      <w:proofErr w:type="gramStart"/>
      <w:r w:rsidRPr="00297478">
        <w:rPr>
          <w:rFonts w:ascii="Arial" w:eastAsia="Times New Roman" w:hAnsi="Arial" w:cs="Arial"/>
          <w:color w:val="000000"/>
          <w:sz w:val="18"/>
          <w:szCs w:val="18"/>
          <w:lang w:val="en-US" w:eastAsia="fr-FR"/>
        </w:rPr>
        <w:t>on the basis of</w:t>
      </w:r>
      <w:proofErr w:type="gramEnd"/>
      <w:r w:rsidRPr="00297478">
        <w:rPr>
          <w:rFonts w:ascii="Arial" w:eastAsia="Times New Roman" w:hAnsi="Arial" w:cs="Arial"/>
          <w:color w:val="000000"/>
          <w:sz w:val="18"/>
          <w:szCs w:val="18"/>
          <w:lang w:val="en-US" w:eastAsia="fr-FR"/>
        </w:rPr>
        <w:t xml:space="preserve"> Directive 2003/55.</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 w:name="point10"/>
      <w:r w:rsidRPr="00297478">
        <w:rPr>
          <w:rFonts w:ascii="Arial" w:eastAsia="Times New Roman" w:hAnsi="Arial" w:cs="Arial"/>
          <w:color w:val="006699"/>
          <w:sz w:val="18"/>
          <w:szCs w:val="18"/>
          <w:lang w:val="en-US" w:eastAsia="fr-FR"/>
        </w:rPr>
        <w:t>10</w:t>
      </w:r>
      <w:bookmarkEnd w:id="10"/>
      <w:r w:rsidRPr="00297478">
        <w:rPr>
          <w:rFonts w:ascii="Arial" w:eastAsia="Times New Roman" w:hAnsi="Arial" w:cs="Arial"/>
          <w:color w:val="000000"/>
          <w:sz w:val="18"/>
          <w:szCs w:val="18"/>
          <w:lang w:val="en-US" w:eastAsia="fr-FR"/>
        </w:rPr>
        <w:t xml:space="preserve">      In the technical configuration of the OPAL pipeline, which </w:t>
      </w:r>
      <w:proofErr w:type="gramStart"/>
      <w:r w:rsidRPr="00297478">
        <w:rPr>
          <w:rFonts w:ascii="Arial" w:eastAsia="Times New Roman" w:hAnsi="Arial" w:cs="Arial"/>
          <w:color w:val="000000"/>
          <w:sz w:val="18"/>
          <w:szCs w:val="18"/>
          <w:lang w:val="en-US" w:eastAsia="fr-FR"/>
        </w:rPr>
        <w:t>was put</w:t>
      </w:r>
      <w:proofErr w:type="gramEnd"/>
      <w:r w:rsidRPr="00297478">
        <w:rPr>
          <w:rFonts w:ascii="Arial" w:eastAsia="Times New Roman" w:hAnsi="Arial" w:cs="Arial"/>
          <w:color w:val="000000"/>
          <w:sz w:val="18"/>
          <w:szCs w:val="18"/>
          <w:lang w:val="en-US" w:eastAsia="fr-FR"/>
        </w:rPr>
        <w:t xml:space="preserve"> into service as from 13 July 2011, natural gas can be supplied at the pipeline entry point close to Greifswald (Germany) only by the Nord Stream 1 pipeline, used by the Gazprom group to transport gas from Russian gas fields. As Gazprom did not implement the gas release programme referred to in Decision </w:t>
      </w:r>
      <w:proofErr w:type="gramStart"/>
      <w:r w:rsidRPr="00297478">
        <w:rPr>
          <w:rFonts w:ascii="Arial" w:eastAsia="Times New Roman" w:hAnsi="Arial" w:cs="Arial"/>
          <w:color w:val="000000"/>
          <w:sz w:val="18"/>
          <w:szCs w:val="18"/>
          <w:lang w:val="en-US" w:eastAsia="fr-FR"/>
        </w:rPr>
        <w:t>C(</w:t>
      </w:r>
      <w:proofErr w:type="gramEnd"/>
      <w:r w:rsidRPr="00297478">
        <w:rPr>
          <w:rFonts w:ascii="Arial" w:eastAsia="Times New Roman" w:hAnsi="Arial" w:cs="Arial"/>
          <w:color w:val="000000"/>
          <w:sz w:val="18"/>
          <w:szCs w:val="18"/>
          <w:lang w:val="en-US" w:eastAsia="fr-FR"/>
        </w:rPr>
        <w:t>2009) 4694, the non-reserved 50% of the capacity of the OPAL pipeline has never been used.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 w:name="point11"/>
      <w:r w:rsidRPr="00297478">
        <w:rPr>
          <w:rFonts w:ascii="Arial" w:eastAsia="Times New Roman" w:hAnsi="Arial" w:cs="Arial"/>
          <w:color w:val="006699"/>
          <w:sz w:val="18"/>
          <w:szCs w:val="18"/>
          <w:lang w:val="en-US" w:eastAsia="fr-FR"/>
        </w:rPr>
        <w:t>11</w:t>
      </w:r>
      <w:bookmarkEnd w:id="11"/>
      <w:r w:rsidRPr="00297478">
        <w:rPr>
          <w:rFonts w:ascii="Arial" w:eastAsia="Times New Roman" w:hAnsi="Arial" w:cs="Arial"/>
          <w:color w:val="000000"/>
          <w:sz w:val="18"/>
          <w:szCs w:val="18"/>
          <w:lang w:val="en-US" w:eastAsia="fr-FR"/>
        </w:rPr>
        <w:t>      On 12 April 2013, OGT, OAO Gazprom and Gazprom Export OOO formally requested the Federal Network Agency to vary certain provisions of the exemption granted by its decisions of 25 February 2009.</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 w:name="point12"/>
      <w:r w:rsidRPr="00297478">
        <w:rPr>
          <w:rFonts w:ascii="Arial" w:eastAsia="Times New Roman" w:hAnsi="Arial" w:cs="Arial"/>
          <w:color w:val="006699"/>
          <w:sz w:val="18"/>
          <w:szCs w:val="18"/>
          <w:lang w:val="en-US" w:eastAsia="fr-FR"/>
        </w:rPr>
        <w:t>12</w:t>
      </w:r>
      <w:bookmarkEnd w:id="12"/>
      <w:r w:rsidRPr="00297478">
        <w:rPr>
          <w:rFonts w:ascii="Arial" w:eastAsia="Times New Roman" w:hAnsi="Arial" w:cs="Arial"/>
          <w:color w:val="000000"/>
          <w:sz w:val="18"/>
          <w:szCs w:val="18"/>
          <w:lang w:val="en-US" w:eastAsia="fr-FR"/>
        </w:rPr>
        <w:t xml:space="preserve">      Following that request, on 13 May 2016 the Federal Network Agency notified the Commission, </w:t>
      </w:r>
      <w:proofErr w:type="gramStart"/>
      <w:r w:rsidRPr="00297478">
        <w:rPr>
          <w:rFonts w:ascii="Arial" w:eastAsia="Times New Roman" w:hAnsi="Arial" w:cs="Arial"/>
          <w:color w:val="000000"/>
          <w:sz w:val="18"/>
          <w:szCs w:val="18"/>
          <w:lang w:val="en-US" w:eastAsia="fr-FR"/>
        </w:rPr>
        <w:t>on the basis of</w:t>
      </w:r>
      <w:proofErr w:type="gramEnd"/>
      <w:r w:rsidRPr="00297478">
        <w:rPr>
          <w:rFonts w:ascii="Arial" w:eastAsia="Times New Roman" w:hAnsi="Arial" w:cs="Arial"/>
          <w:color w:val="000000"/>
          <w:sz w:val="18"/>
          <w:szCs w:val="18"/>
          <w:lang w:val="en-US" w:eastAsia="fr-FR"/>
        </w:rPr>
        <w:t xml:space="preserve"> Article 36 of Directive 2009/73, of its intention to vary certain provisions of the exemption granted by its decisions of 25 February 2009 regarding the share of the OPAL pipeline operated by OGT. The variation proposed by the Federal Network Agency consisted, in essence, in replacing the restriction imposed by Decision C(2009) 4694 on the capacity that could be reserved by dominant undertakings with the obligation, for OGT, to offer, by auction, at least 50% of its operating capacity at the exit point of Brandov (Czech Republic).</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 w:name="point13"/>
      <w:r w:rsidRPr="00297478">
        <w:rPr>
          <w:rFonts w:ascii="Arial" w:eastAsia="Times New Roman" w:hAnsi="Arial" w:cs="Arial"/>
          <w:color w:val="006699"/>
          <w:sz w:val="18"/>
          <w:szCs w:val="18"/>
          <w:lang w:val="en-US" w:eastAsia="fr-FR"/>
        </w:rPr>
        <w:t>13</w:t>
      </w:r>
      <w:bookmarkEnd w:id="13"/>
      <w:r w:rsidRPr="00297478">
        <w:rPr>
          <w:rFonts w:ascii="Arial" w:eastAsia="Times New Roman" w:hAnsi="Arial" w:cs="Arial"/>
          <w:color w:val="000000"/>
          <w:sz w:val="18"/>
          <w:szCs w:val="18"/>
          <w:lang w:val="en-US" w:eastAsia="fr-FR"/>
        </w:rPr>
        <w:t xml:space="preserve">      On 28 October 2016, the Commission adopted, </w:t>
      </w:r>
      <w:proofErr w:type="gramStart"/>
      <w:r w:rsidRPr="00297478">
        <w:rPr>
          <w:rFonts w:ascii="Arial" w:eastAsia="Times New Roman" w:hAnsi="Arial" w:cs="Arial"/>
          <w:color w:val="000000"/>
          <w:sz w:val="18"/>
          <w:szCs w:val="18"/>
          <w:lang w:val="en-US" w:eastAsia="fr-FR"/>
        </w:rPr>
        <w:t>on the basis of</w:t>
      </w:r>
      <w:proofErr w:type="gramEnd"/>
      <w:r w:rsidRPr="00297478">
        <w:rPr>
          <w:rFonts w:ascii="Arial" w:eastAsia="Times New Roman" w:hAnsi="Arial" w:cs="Arial"/>
          <w:color w:val="000000"/>
          <w:sz w:val="18"/>
          <w:szCs w:val="18"/>
          <w:lang w:val="en-US" w:eastAsia="fr-FR"/>
        </w:rPr>
        <w:t xml:space="preserve"> Article 36(9) of Directive 2009/73, the decision at issue, which is addressed to the Federal Network Agency and was published on the Commission website on 3 January 2017.</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 w:name="point14"/>
      <w:proofErr w:type="gramStart"/>
      <w:r w:rsidRPr="00297478">
        <w:rPr>
          <w:rFonts w:ascii="Arial" w:eastAsia="Times New Roman" w:hAnsi="Arial" w:cs="Arial"/>
          <w:color w:val="006699"/>
          <w:sz w:val="18"/>
          <w:szCs w:val="18"/>
          <w:lang w:val="en-US" w:eastAsia="fr-FR"/>
        </w:rPr>
        <w:t>14</w:t>
      </w:r>
      <w:bookmarkEnd w:id="14"/>
      <w:r w:rsidRPr="00297478">
        <w:rPr>
          <w:rFonts w:ascii="Arial" w:eastAsia="Times New Roman" w:hAnsi="Arial" w:cs="Arial"/>
          <w:color w:val="000000"/>
          <w:sz w:val="18"/>
          <w:szCs w:val="18"/>
          <w:lang w:val="en-US" w:eastAsia="fr-FR"/>
        </w:rPr>
        <w:t>      In that decision, the Commission approved the amendments to the exemption regime proposed by the Federal Network Agency, subject to certain conditions, concerning, in particular (i) restriction of the initial offer of capacities to be auctioned to 3 200 000 kWh/h (approximately 2.48 billion m</w:t>
      </w:r>
      <w:r w:rsidRPr="00297478">
        <w:rPr>
          <w:rFonts w:ascii="Arial" w:eastAsia="Times New Roman" w:hAnsi="Arial" w:cs="Arial"/>
          <w:color w:val="000000"/>
          <w:sz w:val="18"/>
          <w:szCs w:val="18"/>
          <w:vertAlign w:val="superscript"/>
          <w:lang w:val="en-US" w:eastAsia="fr-FR"/>
        </w:rPr>
        <w:t>3</w:t>
      </w:r>
      <w:r w:rsidRPr="00297478">
        <w:rPr>
          <w:rFonts w:ascii="Arial" w:eastAsia="Times New Roman" w:hAnsi="Arial" w:cs="Arial"/>
          <w:color w:val="000000"/>
          <w:sz w:val="18"/>
          <w:szCs w:val="18"/>
          <w:lang w:val="en-US" w:eastAsia="fr-FR"/>
        </w:rPr>
        <w:t>/year) of fixed freely allocable capacities and to 12 664 532 kWh/h (approximately 9.83 billion m</w:t>
      </w:r>
      <w:r w:rsidRPr="00297478">
        <w:rPr>
          <w:rFonts w:ascii="Arial" w:eastAsia="Times New Roman" w:hAnsi="Arial" w:cs="Arial"/>
          <w:color w:val="000000"/>
          <w:sz w:val="18"/>
          <w:szCs w:val="18"/>
          <w:vertAlign w:val="superscript"/>
          <w:lang w:val="en-US" w:eastAsia="fr-FR"/>
        </w:rPr>
        <w:t>3</w:t>
      </w:r>
      <w:r w:rsidRPr="00297478">
        <w:rPr>
          <w:rFonts w:ascii="Arial" w:eastAsia="Times New Roman" w:hAnsi="Arial" w:cs="Arial"/>
          <w:color w:val="000000"/>
          <w:sz w:val="18"/>
          <w:szCs w:val="18"/>
          <w:lang w:val="en-US" w:eastAsia="fr-FR"/>
        </w:rPr>
        <w:t>/year) of fixed dynamically allocable capacities; (ii) an increase in the volume of fixed freely allocable capacities which had to be offered at auction in the subsequent year, if, at an annual auction, demand exceeded 90% of the capacities offered, and which had to be made in tranches of 1 600 000 kWh/h (approximately 1.24 billion m</w:t>
      </w:r>
      <w:r w:rsidRPr="00297478">
        <w:rPr>
          <w:rFonts w:ascii="Arial" w:eastAsia="Times New Roman" w:hAnsi="Arial" w:cs="Arial"/>
          <w:color w:val="000000"/>
          <w:sz w:val="18"/>
          <w:szCs w:val="18"/>
          <w:vertAlign w:val="superscript"/>
          <w:lang w:val="en-US" w:eastAsia="fr-FR"/>
        </w:rPr>
        <w:t>3</w:t>
      </w:r>
      <w:r w:rsidRPr="00297478">
        <w:rPr>
          <w:rFonts w:ascii="Arial" w:eastAsia="Times New Roman" w:hAnsi="Arial" w:cs="Arial"/>
          <w:color w:val="000000"/>
          <w:sz w:val="18"/>
          <w:szCs w:val="18"/>
          <w:lang w:val="en-US" w:eastAsia="fr-FR"/>
        </w:rPr>
        <w:t>/year) up to a maximum of 6 400 000 kWh/h (approximately 4.97 billion m</w:t>
      </w:r>
      <w:r w:rsidRPr="00297478">
        <w:rPr>
          <w:rFonts w:ascii="Arial" w:eastAsia="Times New Roman" w:hAnsi="Arial" w:cs="Arial"/>
          <w:color w:val="000000"/>
          <w:sz w:val="18"/>
          <w:szCs w:val="18"/>
          <w:vertAlign w:val="superscript"/>
          <w:lang w:val="en-US" w:eastAsia="fr-FR"/>
        </w:rPr>
        <w:t>3</w:t>
      </w:r>
      <w:r w:rsidRPr="00297478">
        <w:rPr>
          <w:rFonts w:ascii="Arial" w:eastAsia="Times New Roman" w:hAnsi="Arial" w:cs="Arial"/>
          <w:color w:val="000000"/>
          <w:sz w:val="18"/>
          <w:szCs w:val="18"/>
          <w:lang w:val="en-US" w:eastAsia="fr-FR"/>
        </w:rPr>
        <w:t>/year); and (iii) the fact that an undertaking or a group of undertakings with a dominant position in the Czech Republic or controlling more than 50% of the gas arriving at Greifswald could bid for fixed freely allocable capacities only at the base price, which was required to be set no higher than the average base price of regulated tariffs on transmission networks from the Gaspool area, comprising the north and east of Germany, to the Czech Republic for comparable products in the same year.</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 w:name="point15"/>
      <w:r w:rsidRPr="00297478">
        <w:rPr>
          <w:rFonts w:ascii="Arial" w:eastAsia="Times New Roman" w:hAnsi="Arial" w:cs="Arial"/>
          <w:color w:val="006699"/>
          <w:sz w:val="18"/>
          <w:szCs w:val="18"/>
          <w:lang w:val="en-US" w:eastAsia="fr-FR"/>
        </w:rPr>
        <w:t>15</w:t>
      </w:r>
      <w:bookmarkEnd w:id="15"/>
      <w:r w:rsidRPr="00297478">
        <w:rPr>
          <w:rFonts w:ascii="Arial" w:eastAsia="Times New Roman" w:hAnsi="Arial" w:cs="Arial"/>
          <w:color w:val="000000"/>
          <w:sz w:val="18"/>
          <w:szCs w:val="18"/>
          <w:lang w:val="en-US" w:eastAsia="fr-FR"/>
        </w:rPr>
        <w:t xml:space="preserve">      On 28 November 2016, the Federal Network Agency amended the exemption granted by its decision of 25 February 2009 concerning the share of the OPAL pipeline operated by OGT, in accordance with the decision at issue, by entering into a public-law contract with </w:t>
      </w:r>
      <w:proofErr w:type="gramStart"/>
      <w:r w:rsidRPr="00297478">
        <w:rPr>
          <w:rFonts w:ascii="Arial" w:eastAsia="Times New Roman" w:hAnsi="Arial" w:cs="Arial"/>
          <w:color w:val="000000"/>
          <w:sz w:val="18"/>
          <w:szCs w:val="18"/>
          <w:lang w:val="en-US" w:eastAsia="fr-FR"/>
        </w:rPr>
        <w:t>OGT which</w:t>
      </w:r>
      <w:proofErr w:type="gramEnd"/>
      <w:r w:rsidRPr="00297478">
        <w:rPr>
          <w:rFonts w:ascii="Arial" w:eastAsia="Times New Roman" w:hAnsi="Arial" w:cs="Arial"/>
          <w:color w:val="000000"/>
          <w:sz w:val="18"/>
          <w:szCs w:val="18"/>
          <w:lang w:val="en-US" w:eastAsia="fr-FR"/>
        </w:rPr>
        <w:t>, under German law, is equivalent to an administrative decision.</w:t>
      </w:r>
    </w:p>
    <w:p w:rsidR="00DF6CDB" w:rsidRPr="00297478" w:rsidRDefault="00DF6CDB"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The procedure before the General Court and the judgment under appeal</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6" w:name="point16"/>
      <w:r w:rsidRPr="00297478">
        <w:rPr>
          <w:rFonts w:ascii="Arial" w:eastAsia="Times New Roman" w:hAnsi="Arial" w:cs="Arial"/>
          <w:color w:val="006699"/>
          <w:sz w:val="18"/>
          <w:szCs w:val="18"/>
          <w:lang w:val="en-US" w:eastAsia="fr-FR"/>
        </w:rPr>
        <w:t>16</w:t>
      </w:r>
      <w:bookmarkEnd w:id="16"/>
      <w:r w:rsidRPr="00297478">
        <w:rPr>
          <w:rFonts w:ascii="Arial" w:eastAsia="Times New Roman" w:hAnsi="Arial" w:cs="Arial"/>
          <w:color w:val="000000"/>
          <w:sz w:val="18"/>
          <w:szCs w:val="18"/>
          <w:lang w:val="en-US" w:eastAsia="fr-FR"/>
        </w:rPr>
        <w:t>      By application lodged at the General Court Registry on 16 December 2016, the Republic of Poland brought an action for annulment of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7" w:name="point17"/>
      <w:proofErr w:type="gramStart"/>
      <w:r w:rsidRPr="00297478">
        <w:rPr>
          <w:rFonts w:ascii="Arial" w:eastAsia="Times New Roman" w:hAnsi="Arial" w:cs="Arial"/>
          <w:color w:val="006699"/>
          <w:sz w:val="18"/>
          <w:szCs w:val="18"/>
          <w:lang w:val="en-US" w:eastAsia="fr-FR"/>
        </w:rPr>
        <w:t>17</w:t>
      </w:r>
      <w:bookmarkEnd w:id="17"/>
      <w:r w:rsidRPr="00297478">
        <w:rPr>
          <w:rFonts w:ascii="Arial" w:eastAsia="Times New Roman" w:hAnsi="Arial" w:cs="Arial"/>
          <w:color w:val="000000"/>
          <w:sz w:val="18"/>
          <w:szCs w:val="18"/>
          <w:lang w:val="en-US" w:eastAsia="fr-FR"/>
        </w:rPr>
        <w:t>      In support of its action, the Republic of Poland relied on six pleas in law, alleging, first, infringement of Article 36(1)(a) of Directive 2009/73, read in conjunction with Article 194(1)(b) TFEU and the principle of solidarity; second, the lack of competence of the Commission and infringement of Article 36(1) of that directive; third, infringement of Article 36(1)(b) of that directive; fourth, infringement of Article 36(1)(a) and (e) of that directive; fifth, infringement of international conventions to which the European Union is a party; and, sixth, breach of the principle of legal certainty.</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8" w:name="point18"/>
      <w:r w:rsidRPr="00297478">
        <w:rPr>
          <w:rFonts w:ascii="Arial" w:eastAsia="Times New Roman" w:hAnsi="Arial" w:cs="Arial"/>
          <w:color w:val="006699"/>
          <w:sz w:val="18"/>
          <w:szCs w:val="18"/>
          <w:lang w:val="en-US" w:eastAsia="fr-FR"/>
        </w:rPr>
        <w:t>18</w:t>
      </w:r>
      <w:bookmarkEnd w:id="18"/>
      <w:r w:rsidRPr="00297478">
        <w:rPr>
          <w:rFonts w:ascii="Arial" w:eastAsia="Times New Roman" w:hAnsi="Arial" w:cs="Arial"/>
          <w:color w:val="000000"/>
          <w:sz w:val="18"/>
          <w:szCs w:val="18"/>
          <w:lang w:val="en-US" w:eastAsia="fr-FR"/>
        </w:rPr>
        <w:t>      The General Court granted the Federal Republic of Germany leave to intervene in support of the form of order sought by the Commission, and granted the Republic of Latvia and the Republic of Lithuania leave to intervene in support of the form of order sought by the Republic of Poland.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9" w:name="point19"/>
      <w:r w:rsidRPr="00297478">
        <w:rPr>
          <w:rFonts w:ascii="Arial" w:eastAsia="Times New Roman" w:hAnsi="Arial" w:cs="Arial"/>
          <w:color w:val="006699"/>
          <w:sz w:val="18"/>
          <w:szCs w:val="18"/>
          <w:lang w:val="en-US" w:eastAsia="fr-FR"/>
        </w:rPr>
        <w:lastRenderedPageBreak/>
        <w:t>19</w:t>
      </w:r>
      <w:bookmarkEnd w:id="19"/>
      <w:r w:rsidRPr="00297478">
        <w:rPr>
          <w:rFonts w:ascii="Arial" w:eastAsia="Times New Roman" w:hAnsi="Arial" w:cs="Arial"/>
          <w:color w:val="000000"/>
          <w:sz w:val="18"/>
          <w:szCs w:val="18"/>
          <w:lang w:val="en-US" w:eastAsia="fr-FR"/>
        </w:rPr>
        <w:t xml:space="preserve">      By the judgment under appeal, the General Court annulled the decision at issue </w:t>
      </w:r>
      <w:proofErr w:type="gramStart"/>
      <w:r w:rsidRPr="00297478">
        <w:rPr>
          <w:rFonts w:ascii="Arial" w:eastAsia="Times New Roman" w:hAnsi="Arial" w:cs="Arial"/>
          <w:color w:val="000000"/>
          <w:sz w:val="18"/>
          <w:szCs w:val="18"/>
          <w:lang w:val="en-US" w:eastAsia="fr-FR"/>
        </w:rPr>
        <w:t>on the basis of</w:t>
      </w:r>
      <w:proofErr w:type="gramEnd"/>
      <w:r w:rsidRPr="00297478">
        <w:rPr>
          <w:rFonts w:ascii="Arial" w:eastAsia="Times New Roman" w:hAnsi="Arial" w:cs="Arial"/>
          <w:color w:val="000000"/>
          <w:sz w:val="18"/>
          <w:szCs w:val="18"/>
          <w:lang w:val="en-US" w:eastAsia="fr-FR"/>
        </w:rPr>
        <w:t xml:space="preserve"> the first plea in law, without ruling on the other pleas put forward, and ordered the Commission to bear its own costs and to pay those incurred by the Republic of Poland.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0" w:name="point20"/>
      <w:proofErr w:type="gramStart"/>
      <w:r w:rsidRPr="00297478">
        <w:rPr>
          <w:rFonts w:ascii="Arial" w:eastAsia="Times New Roman" w:hAnsi="Arial" w:cs="Arial"/>
          <w:color w:val="006699"/>
          <w:sz w:val="18"/>
          <w:szCs w:val="18"/>
          <w:lang w:val="en-US" w:eastAsia="fr-FR"/>
        </w:rPr>
        <w:t>20</w:t>
      </w:r>
      <w:bookmarkEnd w:id="20"/>
      <w:r w:rsidRPr="00297478">
        <w:rPr>
          <w:rFonts w:ascii="Arial" w:eastAsia="Times New Roman" w:hAnsi="Arial" w:cs="Arial"/>
          <w:color w:val="000000"/>
          <w:sz w:val="18"/>
          <w:szCs w:val="18"/>
          <w:lang w:val="en-US" w:eastAsia="fr-FR"/>
        </w:rPr>
        <w:t>      In the context of the examination of the first plea in law, after having rejected that plea, in paragraph 60 of the judgment under appeal, as being ineffective to the extent that it was based on Article 36(1)(a) of Directive 2009/73, the General Court held that the decision at issue had been adopted in breach of the principle of energy solidarity, as provided for in Article 194(1) TFEU.</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As regards the scope of that principle, the General Court stated, in paragraphs 72 and 73 of the judgment under appeal, that that principle entails a general obligation, for the European Union and the Member States, to take into account the interests of all stakeholders liable to be affected, and that the European Union and the Member States must therefore endeavour, in the exercise of their powers in the field of the energy policy of the European Union, to avoid adopting measures that might affect those interests, as regards security of supply, its economic and political viability and the diversification of sources of supply, and to do so in order to take account of their interdependence and de facto solidarity.</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1" w:name="point21"/>
      <w:proofErr w:type="gramStart"/>
      <w:r w:rsidRPr="00297478">
        <w:rPr>
          <w:rFonts w:ascii="Arial" w:eastAsia="Times New Roman" w:hAnsi="Arial" w:cs="Arial"/>
          <w:color w:val="006699"/>
          <w:sz w:val="18"/>
          <w:szCs w:val="18"/>
          <w:lang w:val="en-US" w:eastAsia="fr-FR"/>
        </w:rPr>
        <w:t>21</w:t>
      </w:r>
      <w:bookmarkEnd w:id="21"/>
      <w:r w:rsidRPr="00297478">
        <w:rPr>
          <w:rFonts w:ascii="Arial" w:eastAsia="Times New Roman" w:hAnsi="Arial" w:cs="Arial"/>
          <w:color w:val="000000"/>
          <w:sz w:val="18"/>
          <w:szCs w:val="18"/>
          <w:lang w:val="en-US" w:eastAsia="fr-FR"/>
        </w:rPr>
        <w:t>      In its assessment as to whether the decision at issue breached the principle of energy solidarity, the General Court found, in paragraphs 81 and 82 of the judgment under appeal, that that decision undermined it, in so far as, first, the Commission did not carry out an examination of the impact of the variation of the regime governing the operation of the OPAL pipeline on the security of supply in Poland and, second, it does not appear that the Commission examined what the medium-term consequences, inter alia for the energy policy of the Republic of Poland, might be of the transfer to the Nord Stream 1/OPAL transit route of part of the volumes of natural gas previously transported via the Yamal and Braterstwo pipelines, or that it balanced those effects against the increased security of supply that it had observed at EU level.</w:t>
      </w:r>
      <w:proofErr w:type="gramEnd"/>
    </w:p>
    <w:p w:rsidR="00DF6CDB" w:rsidRPr="00297478" w:rsidRDefault="00DF6CDB"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Forms of order sought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2" w:name="point22"/>
      <w:r w:rsidRPr="00297478">
        <w:rPr>
          <w:rFonts w:ascii="Arial" w:eastAsia="Times New Roman" w:hAnsi="Arial" w:cs="Arial"/>
          <w:color w:val="006699"/>
          <w:sz w:val="18"/>
          <w:szCs w:val="18"/>
          <w:lang w:val="en-US" w:eastAsia="fr-FR"/>
        </w:rPr>
        <w:t>22</w:t>
      </w:r>
      <w:bookmarkEnd w:id="22"/>
      <w:r w:rsidRPr="00297478">
        <w:rPr>
          <w:rFonts w:ascii="Arial" w:eastAsia="Times New Roman" w:hAnsi="Arial" w:cs="Arial"/>
          <w:color w:val="000000"/>
          <w:sz w:val="18"/>
          <w:szCs w:val="18"/>
          <w:lang w:val="en-US" w:eastAsia="fr-FR"/>
        </w:rPr>
        <w:t>      The Federal Republic of Germany claims that the Court should:</w:t>
      </w:r>
    </w:p>
    <w:p w:rsidR="00DF6CDB" w:rsidRPr="00297478" w:rsidRDefault="00DF6CDB"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set aside the judgment under appeal</w:t>
      </w:r>
      <w:proofErr w:type="gramStart"/>
      <w:r w:rsidRPr="00297478">
        <w:rPr>
          <w:rFonts w:ascii="Arial" w:eastAsia="Times New Roman" w:hAnsi="Arial" w:cs="Arial"/>
          <w:color w:val="000000"/>
          <w:sz w:val="18"/>
          <w:szCs w:val="18"/>
          <w:lang w:val="en-US" w:eastAsia="fr-FR"/>
        </w:rPr>
        <w:t>;</w:t>
      </w:r>
      <w:proofErr w:type="gramEnd"/>
    </w:p>
    <w:p w:rsidR="00DF6CDB" w:rsidRPr="00297478" w:rsidRDefault="00DF6CDB"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refer the case back to the General Court; and</w:t>
      </w:r>
    </w:p>
    <w:p w:rsidR="00DF6CDB" w:rsidRPr="00297478" w:rsidRDefault="00DF6CDB"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reserve the costs.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3" w:name="point23"/>
      <w:r w:rsidRPr="00297478">
        <w:rPr>
          <w:rFonts w:ascii="Arial" w:eastAsia="Times New Roman" w:hAnsi="Arial" w:cs="Arial"/>
          <w:color w:val="006699"/>
          <w:sz w:val="18"/>
          <w:szCs w:val="18"/>
          <w:lang w:val="en-US" w:eastAsia="fr-FR"/>
        </w:rPr>
        <w:t>23</w:t>
      </w:r>
      <w:bookmarkEnd w:id="23"/>
      <w:r w:rsidRPr="00297478">
        <w:rPr>
          <w:rFonts w:ascii="Arial" w:eastAsia="Times New Roman" w:hAnsi="Arial" w:cs="Arial"/>
          <w:color w:val="000000"/>
          <w:sz w:val="18"/>
          <w:szCs w:val="18"/>
          <w:lang w:val="en-US" w:eastAsia="fr-FR"/>
        </w:rPr>
        <w:t>      The Republic of Poland contends that the Court should:</w:t>
      </w:r>
    </w:p>
    <w:p w:rsidR="00DF6CDB" w:rsidRPr="00297478" w:rsidRDefault="00DF6CDB"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dismiss the appeal in its entirety as unfounded and, as regards the third ground of appeal, as inadmissible; and</w:t>
      </w:r>
    </w:p>
    <w:p w:rsidR="00DF6CDB" w:rsidRPr="00297478" w:rsidRDefault="00DF6CDB"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order the Federal Republic of Germany to pay the costs.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4" w:name="point24"/>
      <w:r w:rsidRPr="00297478">
        <w:rPr>
          <w:rFonts w:ascii="Arial" w:eastAsia="Times New Roman" w:hAnsi="Arial" w:cs="Arial"/>
          <w:color w:val="006699"/>
          <w:sz w:val="18"/>
          <w:szCs w:val="18"/>
          <w:lang w:val="en-US" w:eastAsia="fr-FR"/>
        </w:rPr>
        <w:t>24</w:t>
      </w:r>
      <w:bookmarkEnd w:id="24"/>
      <w:r w:rsidRPr="00297478">
        <w:rPr>
          <w:rFonts w:ascii="Arial" w:eastAsia="Times New Roman" w:hAnsi="Arial" w:cs="Arial"/>
          <w:color w:val="000000"/>
          <w:sz w:val="18"/>
          <w:szCs w:val="18"/>
          <w:lang w:val="en-US" w:eastAsia="fr-FR"/>
        </w:rPr>
        <w:t>      The Republic of Latvia and the Republic of Lithuania, interveners at first instance, contend that the Court should dismiss the appeal.</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5" w:name="point25"/>
      <w:r w:rsidRPr="00297478">
        <w:rPr>
          <w:rFonts w:ascii="Arial" w:eastAsia="Times New Roman" w:hAnsi="Arial" w:cs="Arial"/>
          <w:color w:val="006699"/>
          <w:sz w:val="18"/>
          <w:szCs w:val="18"/>
          <w:lang w:val="en-US" w:eastAsia="fr-FR"/>
        </w:rPr>
        <w:t>25</w:t>
      </w:r>
      <w:bookmarkEnd w:id="25"/>
      <w:r w:rsidRPr="00297478">
        <w:rPr>
          <w:rFonts w:ascii="Arial" w:eastAsia="Times New Roman" w:hAnsi="Arial" w:cs="Arial"/>
          <w:color w:val="000000"/>
          <w:sz w:val="18"/>
          <w:szCs w:val="18"/>
          <w:lang w:val="en-US" w:eastAsia="fr-FR"/>
        </w:rPr>
        <w:t>      The Commission, which did not submit a response pursuant to Article 172 of the Rules of Procedure of the Court of Justice, requested the Court, during the oral part of the procedure before the Court, to uphold the first ground of appeal.</w:t>
      </w:r>
    </w:p>
    <w:p w:rsidR="00DF6CDB" w:rsidRPr="00DF6CDB" w:rsidRDefault="00DF6CDB" w:rsidP="00761F1A">
      <w:pPr>
        <w:spacing w:before="480" w:after="240" w:line="240" w:lineRule="auto"/>
        <w:jc w:val="both"/>
        <w:rPr>
          <w:rFonts w:ascii="Arial" w:eastAsia="Times New Roman" w:hAnsi="Arial" w:cs="Arial"/>
          <w:b/>
          <w:bCs/>
          <w:color w:val="000000"/>
          <w:sz w:val="18"/>
          <w:szCs w:val="18"/>
          <w:lang w:eastAsia="fr-FR"/>
        </w:rPr>
      </w:pPr>
      <w:r w:rsidRPr="00297478">
        <w:rPr>
          <w:rFonts w:ascii="Arial" w:eastAsia="Times New Roman" w:hAnsi="Arial" w:cs="Arial"/>
          <w:b/>
          <w:bCs/>
          <w:color w:val="000000"/>
          <w:sz w:val="18"/>
          <w:szCs w:val="18"/>
          <w:lang w:val="en-US" w:eastAsia="fr-FR"/>
        </w:rPr>
        <w:t> </w:t>
      </w:r>
      <w:r w:rsidRPr="00DF6CDB">
        <w:rPr>
          <w:rFonts w:ascii="Arial" w:eastAsia="Times New Roman" w:hAnsi="Arial" w:cs="Arial"/>
          <w:b/>
          <w:bCs/>
          <w:color w:val="000000"/>
          <w:sz w:val="18"/>
          <w:szCs w:val="18"/>
          <w:lang w:eastAsia="fr-FR"/>
        </w:rPr>
        <w:t>The appeal</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6" w:name="point26"/>
      <w:r w:rsidRPr="00297478">
        <w:rPr>
          <w:rFonts w:ascii="Arial" w:eastAsia="Times New Roman" w:hAnsi="Arial" w:cs="Arial"/>
          <w:color w:val="006699"/>
          <w:sz w:val="18"/>
          <w:szCs w:val="18"/>
          <w:lang w:val="en-US" w:eastAsia="fr-FR"/>
        </w:rPr>
        <w:t>26</w:t>
      </w:r>
      <w:bookmarkEnd w:id="26"/>
      <w:r w:rsidRPr="00297478">
        <w:rPr>
          <w:rFonts w:ascii="Arial" w:eastAsia="Times New Roman" w:hAnsi="Arial" w:cs="Arial"/>
          <w:color w:val="000000"/>
          <w:sz w:val="18"/>
          <w:szCs w:val="18"/>
          <w:lang w:val="en-US" w:eastAsia="fr-FR"/>
        </w:rPr>
        <w:t>      The Federal Republic of Germany relies on five grounds of appeal.</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First ground of appeal: incorrect legal assessment of the principle of energy solidarity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Arguments of the parties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7" w:name="point27"/>
      <w:proofErr w:type="gramStart"/>
      <w:r w:rsidRPr="00297478">
        <w:rPr>
          <w:rFonts w:ascii="Arial" w:eastAsia="Times New Roman" w:hAnsi="Arial" w:cs="Arial"/>
          <w:color w:val="006699"/>
          <w:sz w:val="18"/>
          <w:szCs w:val="18"/>
          <w:lang w:val="en-US" w:eastAsia="fr-FR"/>
        </w:rPr>
        <w:t>27</w:t>
      </w:r>
      <w:bookmarkEnd w:id="27"/>
      <w:r w:rsidRPr="00297478">
        <w:rPr>
          <w:rFonts w:ascii="Arial" w:eastAsia="Times New Roman" w:hAnsi="Arial" w:cs="Arial"/>
          <w:color w:val="000000"/>
          <w:sz w:val="18"/>
          <w:szCs w:val="18"/>
          <w:lang w:val="en-US" w:eastAsia="fr-FR"/>
        </w:rPr>
        <w:t>      By its first ground of appeal, the appellant submits that, contrary to the General Court’s finding in paragraph 70 of the judgment under appeal, the principle of energy solidarity as set out in Article 194(1) TFEU does not have binding effect, in the sense that it does not entail rights and obligations for the European Union and the Member States.</w:t>
      </w:r>
      <w:proofErr w:type="gramEnd"/>
      <w:r w:rsidRPr="00297478">
        <w:rPr>
          <w:rFonts w:ascii="Arial" w:eastAsia="Times New Roman" w:hAnsi="Arial" w:cs="Arial"/>
          <w:color w:val="000000"/>
          <w:sz w:val="18"/>
          <w:szCs w:val="18"/>
          <w:lang w:val="en-US" w:eastAsia="fr-FR"/>
        </w:rPr>
        <w:t xml:space="preserve"> According to the Federal Republic of Germany, it is an abstract, purely political notion, and not a legal criterion for the assessment of the validity of an act of an EU institution. It is only by the adoption of more specific rules in </w:t>
      </w:r>
      <w:r w:rsidRPr="00297478">
        <w:rPr>
          <w:rFonts w:ascii="Arial" w:eastAsia="Times New Roman" w:hAnsi="Arial" w:cs="Arial"/>
          <w:color w:val="000000"/>
          <w:sz w:val="18"/>
          <w:szCs w:val="18"/>
          <w:lang w:val="en-US" w:eastAsia="fr-FR"/>
        </w:rPr>
        <w:lastRenderedPageBreak/>
        <w:t xml:space="preserve">secondary legislation that such a principle could become a legal criterion to be </w:t>
      </w:r>
      <w:proofErr w:type="gramStart"/>
      <w:r w:rsidRPr="00297478">
        <w:rPr>
          <w:rFonts w:ascii="Arial" w:eastAsia="Times New Roman" w:hAnsi="Arial" w:cs="Arial"/>
          <w:color w:val="000000"/>
          <w:sz w:val="18"/>
          <w:szCs w:val="18"/>
          <w:lang w:val="en-US" w:eastAsia="fr-FR"/>
        </w:rPr>
        <w:t>implemented</w:t>
      </w:r>
      <w:proofErr w:type="gramEnd"/>
      <w:r w:rsidRPr="00297478">
        <w:rPr>
          <w:rFonts w:ascii="Arial" w:eastAsia="Times New Roman" w:hAnsi="Arial" w:cs="Arial"/>
          <w:color w:val="000000"/>
          <w:sz w:val="18"/>
          <w:szCs w:val="18"/>
          <w:lang w:val="en-US" w:eastAsia="fr-FR"/>
        </w:rPr>
        <w:t xml:space="preserve"> and applied by the executive. This follows from the fact that it is not the purpose of primary law to establish legal criteria that </w:t>
      </w:r>
      <w:proofErr w:type="gramStart"/>
      <w:r w:rsidRPr="00297478">
        <w:rPr>
          <w:rFonts w:ascii="Arial" w:eastAsia="Times New Roman" w:hAnsi="Arial" w:cs="Arial"/>
          <w:color w:val="000000"/>
          <w:sz w:val="18"/>
          <w:szCs w:val="18"/>
          <w:lang w:val="en-US" w:eastAsia="fr-FR"/>
        </w:rPr>
        <w:t>might be relied on</w:t>
      </w:r>
      <w:proofErr w:type="gramEnd"/>
      <w:r w:rsidRPr="00297478">
        <w:rPr>
          <w:rFonts w:ascii="Arial" w:eastAsia="Times New Roman" w:hAnsi="Arial" w:cs="Arial"/>
          <w:color w:val="000000"/>
          <w:sz w:val="18"/>
          <w:szCs w:val="18"/>
          <w:lang w:val="en-US" w:eastAsia="fr-FR"/>
        </w:rPr>
        <w:t xml:space="preserve"> before the courts, but to define in political terms the general framework within which the European Union is to develop and the European Union’s objectives, the latter being pursued and more closely defined by regulations and directives.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8" w:name="point28"/>
      <w:r w:rsidRPr="00297478">
        <w:rPr>
          <w:rFonts w:ascii="Arial" w:eastAsia="Times New Roman" w:hAnsi="Arial" w:cs="Arial"/>
          <w:color w:val="006699"/>
          <w:sz w:val="18"/>
          <w:szCs w:val="18"/>
          <w:lang w:val="en-US" w:eastAsia="fr-FR"/>
        </w:rPr>
        <w:t>28</w:t>
      </w:r>
      <w:bookmarkEnd w:id="28"/>
      <w:r w:rsidRPr="00297478">
        <w:rPr>
          <w:rFonts w:ascii="Arial" w:eastAsia="Times New Roman" w:hAnsi="Arial" w:cs="Arial"/>
          <w:color w:val="000000"/>
          <w:sz w:val="18"/>
          <w:szCs w:val="18"/>
          <w:lang w:val="en-US" w:eastAsia="fr-FR"/>
        </w:rPr>
        <w:t xml:space="preserve">      According to the appellant, the Commission did not err in examining the requirements of Article 36(1) of Directive 2009/73, that provision being the only criterion by which the legality of the decision at issue </w:t>
      </w:r>
      <w:proofErr w:type="gramStart"/>
      <w:r w:rsidRPr="00297478">
        <w:rPr>
          <w:rFonts w:ascii="Arial" w:eastAsia="Times New Roman" w:hAnsi="Arial" w:cs="Arial"/>
          <w:color w:val="000000"/>
          <w:sz w:val="18"/>
          <w:szCs w:val="18"/>
          <w:lang w:val="en-US" w:eastAsia="fr-FR"/>
        </w:rPr>
        <w:t>may be reviewed</w:t>
      </w:r>
      <w:proofErr w:type="gramEnd"/>
      <w:r w:rsidRPr="00297478">
        <w:rPr>
          <w:rFonts w:ascii="Arial" w:eastAsia="Times New Roman" w:hAnsi="Arial" w:cs="Arial"/>
          <w:color w:val="000000"/>
          <w:sz w:val="18"/>
          <w:szCs w:val="18"/>
          <w:lang w:val="en-US" w:eastAsia="fr-FR"/>
        </w:rPr>
        <w:t xml:space="preserve">. That provision, which imbues the principle of energy solidarity with specific legal content, requires that only security of supply </w:t>
      </w:r>
      <w:proofErr w:type="gramStart"/>
      <w:r w:rsidRPr="00297478">
        <w:rPr>
          <w:rFonts w:ascii="Arial" w:eastAsia="Times New Roman" w:hAnsi="Arial" w:cs="Arial"/>
          <w:color w:val="000000"/>
          <w:sz w:val="18"/>
          <w:szCs w:val="18"/>
          <w:lang w:val="en-US" w:eastAsia="fr-FR"/>
        </w:rPr>
        <w:t>must be verified</w:t>
      </w:r>
      <w:proofErr w:type="gramEnd"/>
      <w:r w:rsidRPr="00297478">
        <w:rPr>
          <w:rFonts w:ascii="Arial" w:eastAsia="Times New Roman" w:hAnsi="Arial" w:cs="Arial"/>
          <w:color w:val="000000"/>
          <w:sz w:val="18"/>
          <w:szCs w:val="18"/>
          <w:lang w:val="en-US" w:eastAsia="fr-FR"/>
        </w:rPr>
        <w:t xml:space="preserve">. By contrast, other abstract aspects of the principle of energy solidarity </w:t>
      </w:r>
      <w:proofErr w:type="gramStart"/>
      <w:r w:rsidRPr="00297478">
        <w:rPr>
          <w:rFonts w:ascii="Arial" w:eastAsia="Times New Roman" w:hAnsi="Arial" w:cs="Arial"/>
          <w:color w:val="000000"/>
          <w:sz w:val="18"/>
          <w:szCs w:val="18"/>
          <w:lang w:val="en-US" w:eastAsia="fr-FR"/>
        </w:rPr>
        <w:t>cannot be relied on</w:t>
      </w:r>
      <w:proofErr w:type="gramEnd"/>
      <w:r w:rsidRPr="00297478">
        <w:rPr>
          <w:rFonts w:ascii="Arial" w:eastAsia="Times New Roman" w:hAnsi="Arial" w:cs="Arial"/>
          <w:color w:val="000000"/>
          <w:sz w:val="18"/>
          <w:szCs w:val="18"/>
          <w:lang w:val="en-US" w:eastAsia="fr-FR"/>
        </w:rPr>
        <w:t xml:space="preserve"> before the courts.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29" w:name="point29"/>
      <w:proofErr w:type="gramStart"/>
      <w:r w:rsidRPr="00297478">
        <w:rPr>
          <w:rFonts w:ascii="Arial" w:eastAsia="Times New Roman" w:hAnsi="Arial" w:cs="Arial"/>
          <w:color w:val="006699"/>
          <w:sz w:val="18"/>
          <w:szCs w:val="18"/>
          <w:lang w:val="en-US" w:eastAsia="fr-FR"/>
        </w:rPr>
        <w:t>29</w:t>
      </w:r>
      <w:bookmarkEnd w:id="29"/>
      <w:r w:rsidRPr="00297478">
        <w:rPr>
          <w:rFonts w:ascii="Arial" w:eastAsia="Times New Roman" w:hAnsi="Arial" w:cs="Arial"/>
          <w:color w:val="000000"/>
          <w:sz w:val="18"/>
          <w:szCs w:val="18"/>
          <w:lang w:val="en-US" w:eastAsia="fr-FR"/>
        </w:rPr>
        <w:t>      In addition, the Federal Republic of Germany submits that there is no evidence to suggest an obligation on the Commission, as executive body of the European Union, arising from the principle of energy solidarity as such, beyond the specific form given to that principle in Article 36(1) of Directive 2009/73, that principle being binding, at most, on the EU legislature.</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0" w:name="point30"/>
      <w:r w:rsidRPr="00297478">
        <w:rPr>
          <w:rFonts w:ascii="Arial" w:eastAsia="Times New Roman" w:hAnsi="Arial" w:cs="Arial"/>
          <w:color w:val="006699"/>
          <w:sz w:val="18"/>
          <w:szCs w:val="18"/>
          <w:lang w:val="en-US" w:eastAsia="fr-FR"/>
        </w:rPr>
        <w:t>30</w:t>
      </w:r>
      <w:bookmarkEnd w:id="30"/>
      <w:r w:rsidRPr="00297478">
        <w:rPr>
          <w:rFonts w:ascii="Arial" w:eastAsia="Times New Roman" w:hAnsi="Arial" w:cs="Arial"/>
          <w:color w:val="000000"/>
          <w:sz w:val="18"/>
          <w:szCs w:val="18"/>
          <w:lang w:val="en-US" w:eastAsia="fr-FR"/>
        </w:rPr>
        <w:t>      The Republic of Poland, supported by the Republic of Latvia and the Republic of Lithuania, contends that the first ground of appeal is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1" w:name="point31"/>
      <w:r w:rsidRPr="00297478">
        <w:rPr>
          <w:rFonts w:ascii="Arial" w:eastAsia="Times New Roman" w:hAnsi="Arial" w:cs="Arial"/>
          <w:color w:val="006699"/>
          <w:sz w:val="18"/>
          <w:szCs w:val="18"/>
          <w:lang w:val="en-US" w:eastAsia="fr-FR"/>
        </w:rPr>
        <w:t>31</w:t>
      </w:r>
      <w:bookmarkEnd w:id="31"/>
      <w:r w:rsidRPr="00297478">
        <w:rPr>
          <w:rFonts w:ascii="Arial" w:eastAsia="Times New Roman" w:hAnsi="Arial" w:cs="Arial"/>
          <w:color w:val="000000"/>
          <w:sz w:val="18"/>
          <w:szCs w:val="18"/>
          <w:lang w:val="en-US" w:eastAsia="fr-FR"/>
        </w:rPr>
        <w:t xml:space="preserve">      In particular, the Republic of Poland counters that the principle of energy solidarity, to which Article 194(1) TFEU refers, constitutes the specific expression of the general principle of solidarity between the Member States. According to the Republic of Poland, in the hierarchy of sources of EU law, general principles rank equally with primary law. In that regard, it argues that acts of secondary legislation </w:t>
      </w:r>
      <w:proofErr w:type="gramStart"/>
      <w:r w:rsidRPr="00297478">
        <w:rPr>
          <w:rFonts w:ascii="Arial" w:eastAsia="Times New Roman" w:hAnsi="Arial" w:cs="Arial"/>
          <w:color w:val="000000"/>
          <w:sz w:val="18"/>
          <w:szCs w:val="18"/>
          <w:lang w:val="en-US" w:eastAsia="fr-FR"/>
        </w:rPr>
        <w:t>must be interpreted</w:t>
      </w:r>
      <w:proofErr w:type="gramEnd"/>
      <w:r w:rsidRPr="00297478">
        <w:rPr>
          <w:rFonts w:ascii="Arial" w:eastAsia="Times New Roman" w:hAnsi="Arial" w:cs="Arial"/>
          <w:color w:val="000000"/>
          <w:sz w:val="18"/>
          <w:szCs w:val="18"/>
          <w:lang w:val="en-US" w:eastAsia="fr-FR"/>
        </w:rPr>
        <w:t>, and their legality assessed, in the light of that principle. Consequently, the claim by the Federal Republic of Germany that Article 36(1) of Directive 2009/73 constitutes the only criterion for reviewing the legality of the decision at issue is incorrect.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2" w:name="point32"/>
      <w:r w:rsidRPr="00297478">
        <w:rPr>
          <w:rFonts w:ascii="Arial" w:eastAsia="Times New Roman" w:hAnsi="Arial" w:cs="Arial"/>
          <w:color w:val="006699"/>
          <w:sz w:val="18"/>
          <w:szCs w:val="18"/>
          <w:lang w:val="en-US" w:eastAsia="fr-FR"/>
        </w:rPr>
        <w:t>32</w:t>
      </w:r>
      <w:bookmarkEnd w:id="32"/>
      <w:r w:rsidRPr="00297478">
        <w:rPr>
          <w:rFonts w:ascii="Arial" w:eastAsia="Times New Roman" w:hAnsi="Arial" w:cs="Arial"/>
          <w:color w:val="000000"/>
          <w:sz w:val="18"/>
          <w:szCs w:val="18"/>
          <w:lang w:val="en-US" w:eastAsia="fr-FR"/>
        </w:rPr>
        <w:t xml:space="preserve">      Thus, according to the Republic of Poland, the principle of solidarity is binding not only on the Member States but also on the EU institutions, including the Commission, which, as guardian of the Treaties, must ensure that the general interest of the European Union </w:t>
      </w:r>
      <w:proofErr w:type="gramStart"/>
      <w:r w:rsidRPr="00297478">
        <w:rPr>
          <w:rFonts w:ascii="Arial" w:eastAsia="Times New Roman" w:hAnsi="Arial" w:cs="Arial"/>
          <w:color w:val="000000"/>
          <w:sz w:val="18"/>
          <w:szCs w:val="18"/>
          <w:lang w:val="en-US" w:eastAsia="fr-FR"/>
        </w:rPr>
        <w:t>is served</w:t>
      </w:r>
      <w:proofErr w:type="gramEnd"/>
      <w:r w:rsidRPr="00297478">
        <w:rPr>
          <w:rFonts w:ascii="Arial" w:eastAsia="Times New Roman" w:hAnsi="Arial" w:cs="Arial"/>
          <w:color w:val="000000"/>
          <w:sz w:val="18"/>
          <w:szCs w:val="18"/>
          <w:lang w:val="en-US" w:eastAsia="fr-FR"/>
        </w:rPr>
        <w: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3" w:name="point33"/>
      <w:proofErr w:type="gramStart"/>
      <w:r w:rsidRPr="00297478">
        <w:rPr>
          <w:rFonts w:ascii="Arial" w:eastAsia="Times New Roman" w:hAnsi="Arial" w:cs="Arial"/>
          <w:color w:val="006699"/>
          <w:sz w:val="18"/>
          <w:szCs w:val="18"/>
          <w:lang w:val="en-US" w:eastAsia="fr-FR"/>
        </w:rPr>
        <w:t>33</w:t>
      </w:r>
      <w:bookmarkEnd w:id="33"/>
      <w:r w:rsidRPr="00297478">
        <w:rPr>
          <w:rFonts w:ascii="Arial" w:eastAsia="Times New Roman" w:hAnsi="Arial" w:cs="Arial"/>
          <w:color w:val="000000"/>
          <w:sz w:val="18"/>
          <w:szCs w:val="18"/>
          <w:lang w:val="en-US" w:eastAsia="fr-FR"/>
        </w:rPr>
        <w:t>      In addition, the Republic of Poland claims that the security of gas supply in the European Union, which is one of the objectives of EU energy policy, must be ensured in accordance with the principle of solidarity laid down in Article 194(1) TFEU, that principle being a criterion for the assessment of the legality of measures adopted by the EU institutions, and in the present case of the decision at issue.</w:t>
      </w:r>
      <w:proofErr w:type="gramEnd"/>
      <w:r w:rsidRPr="00297478">
        <w:rPr>
          <w:rFonts w:ascii="Arial" w:eastAsia="Times New Roman" w:hAnsi="Arial" w:cs="Arial"/>
          <w:color w:val="000000"/>
          <w:sz w:val="18"/>
          <w:szCs w:val="18"/>
          <w:lang w:val="en-US" w:eastAsia="fr-FR"/>
        </w:rPr>
        <w:t xml:space="preserve"> It follows that the arguments of the Federal Republic of Germany aimed at reducing that principle to a purely political notion are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4" w:name="point34"/>
      <w:r w:rsidRPr="00297478">
        <w:rPr>
          <w:rFonts w:ascii="Arial" w:eastAsia="Times New Roman" w:hAnsi="Arial" w:cs="Arial"/>
          <w:color w:val="006699"/>
          <w:sz w:val="18"/>
          <w:szCs w:val="18"/>
          <w:lang w:val="en-US" w:eastAsia="fr-FR"/>
        </w:rPr>
        <w:t>34</w:t>
      </w:r>
      <w:bookmarkEnd w:id="34"/>
      <w:r w:rsidRPr="00297478">
        <w:rPr>
          <w:rFonts w:ascii="Arial" w:eastAsia="Times New Roman" w:hAnsi="Arial" w:cs="Arial"/>
          <w:color w:val="000000"/>
          <w:sz w:val="18"/>
          <w:szCs w:val="18"/>
          <w:lang w:val="en-US" w:eastAsia="fr-FR"/>
        </w:rPr>
        <w:t xml:space="preserve">      The Republic of Latvia submits that the Federal Republic of Germany wrongly seeks to reduce the scope and application of the principle of energy solidarity, when Article 194(1) TFEU, which is a provision of primary law, imposes obligations on the Member States and on the EU institutions. That principle prevents the Member States from taking certain </w:t>
      </w:r>
      <w:proofErr w:type="gramStart"/>
      <w:r w:rsidRPr="00297478">
        <w:rPr>
          <w:rFonts w:ascii="Arial" w:eastAsia="Times New Roman" w:hAnsi="Arial" w:cs="Arial"/>
          <w:color w:val="000000"/>
          <w:sz w:val="18"/>
          <w:szCs w:val="18"/>
          <w:lang w:val="en-US" w:eastAsia="fr-FR"/>
        </w:rPr>
        <w:t>measures which</w:t>
      </w:r>
      <w:proofErr w:type="gramEnd"/>
      <w:r w:rsidRPr="00297478">
        <w:rPr>
          <w:rFonts w:ascii="Arial" w:eastAsia="Times New Roman" w:hAnsi="Arial" w:cs="Arial"/>
          <w:color w:val="000000"/>
          <w:sz w:val="18"/>
          <w:szCs w:val="18"/>
          <w:lang w:val="en-US" w:eastAsia="fr-FR"/>
        </w:rPr>
        <w:t xml:space="preserve"> impede the functioning of the European Union. The Commission should ensure in that respect that the Member States respect the principle of energy solidarity when implementing Article 36(8) of Directive 2009/73.</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5" w:name="point35"/>
      <w:r w:rsidRPr="00297478">
        <w:rPr>
          <w:rFonts w:ascii="Arial" w:eastAsia="Times New Roman" w:hAnsi="Arial" w:cs="Arial"/>
          <w:color w:val="006699"/>
          <w:sz w:val="18"/>
          <w:szCs w:val="18"/>
          <w:lang w:val="en-US" w:eastAsia="fr-FR"/>
        </w:rPr>
        <w:t>35</w:t>
      </w:r>
      <w:bookmarkEnd w:id="35"/>
      <w:r w:rsidRPr="00297478">
        <w:rPr>
          <w:rFonts w:ascii="Arial" w:eastAsia="Times New Roman" w:hAnsi="Arial" w:cs="Arial"/>
          <w:color w:val="000000"/>
          <w:sz w:val="18"/>
          <w:szCs w:val="18"/>
          <w:lang w:val="en-US" w:eastAsia="fr-FR"/>
        </w:rPr>
        <w:t xml:space="preserve">      The Republic of Lithuania also takes issue with the categorisation of the principle of energy solidarity in the appeal. In its view, that principle </w:t>
      </w:r>
      <w:proofErr w:type="gramStart"/>
      <w:r w:rsidRPr="00297478">
        <w:rPr>
          <w:rFonts w:ascii="Arial" w:eastAsia="Times New Roman" w:hAnsi="Arial" w:cs="Arial"/>
          <w:color w:val="000000"/>
          <w:sz w:val="18"/>
          <w:szCs w:val="18"/>
          <w:lang w:val="en-US" w:eastAsia="fr-FR"/>
        </w:rPr>
        <w:t>is derived</w:t>
      </w:r>
      <w:proofErr w:type="gramEnd"/>
      <w:r w:rsidRPr="00297478">
        <w:rPr>
          <w:rFonts w:ascii="Arial" w:eastAsia="Times New Roman" w:hAnsi="Arial" w:cs="Arial"/>
          <w:color w:val="000000"/>
          <w:sz w:val="18"/>
          <w:szCs w:val="18"/>
          <w:lang w:val="en-US" w:eastAsia="fr-FR"/>
        </w:rPr>
        <w:t xml:space="preserve"> from the principle of sincere cooperation, laid down in Article 4(3) TEU, and from the principle of solidarity, laid down in Article 3(3) TEU. As a general principle of EU law, the principle of energy solidarity </w:t>
      </w:r>
      <w:proofErr w:type="gramStart"/>
      <w:r w:rsidRPr="00297478">
        <w:rPr>
          <w:rFonts w:ascii="Arial" w:eastAsia="Times New Roman" w:hAnsi="Arial" w:cs="Arial"/>
          <w:color w:val="000000"/>
          <w:sz w:val="18"/>
          <w:szCs w:val="18"/>
          <w:lang w:val="en-US" w:eastAsia="fr-FR"/>
        </w:rPr>
        <w:t>could be relied on</w:t>
      </w:r>
      <w:proofErr w:type="gramEnd"/>
      <w:r w:rsidRPr="00297478">
        <w:rPr>
          <w:rFonts w:ascii="Arial" w:eastAsia="Times New Roman" w:hAnsi="Arial" w:cs="Arial"/>
          <w:color w:val="000000"/>
          <w:sz w:val="18"/>
          <w:szCs w:val="18"/>
          <w:lang w:val="en-US" w:eastAsia="fr-FR"/>
        </w:rPr>
        <w:t xml:space="preserve"> in the context of the judicial review of the legality of Commission decisions, under Article 263 TFEU.</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6" w:name="point36"/>
      <w:r w:rsidRPr="00297478">
        <w:rPr>
          <w:rFonts w:ascii="Arial" w:eastAsia="Times New Roman" w:hAnsi="Arial" w:cs="Arial"/>
          <w:color w:val="006699"/>
          <w:sz w:val="18"/>
          <w:szCs w:val="18"/>
          <w:lang w:val="en-US" w:eastAsia="fr-FR"/>
        </w:rPr>
        <w:t>36</w:t>
      </w:r>
      <w:bookmarkEnd w:id="36"/>
      <w:r w:rsidRPr="00297478">
        <w:rPr>
          <w:rFonts w:ascii="Arial" w:eastAsia="Times New Roman" w:hAnsi="Arial" w:cs="Arial"/>
          <w:color w:val="000000"/>
          <w:sz w:val="18"/>
          <w:szCs w:val="18"/>
          <w:lang w:val="en-US" w:eastAsia="fr-FR"/>
        </w:rPr>
        <w:t xml:space="preserve">      At the hearing, the Commission </w:t>
      </w:r>
      <w:proofErr w:type="gramStart"/>
      <w:r w:rsidRPr="00297478">
        <w:rPr>
          <w:rFonts w:ascii="Arial" w:eastAsia="Times New Roman" w:hAnsi="Arial" w:cs="Arial"/>
          <w:color w:val="000000"/>
          <w:sz w:val="18"/>
          <w:szCs w:val="18"/>
          <w:lang w:val="en-US" w:eastAsia="fr-FR"/>
        </w:rPr>
        <w:t>was invited</w:t>
      </w:r>
      <w:proofErr w:type="gramEnd"/>
      <w:r w:rsidRPr="00297478">
        <w:rPr>
          <w:rFonts w:ascii="Arial" w:eastAsia="Times New Roman" w:hAnsi="Arial" w:cs="Arial"/>
          <w:color w:val="000000"/>
          <w:sz w:val="18"/>
          <w:szCs w:val="18"/>
          <w:lang w:val="en-US" w:eastAsia="fr-FR"/>
        </w:rPr>
        <w:t xml:space="preserve"> by the Court to comment on the first ground of appeal. The Commission stated that it concurred with the argument put forward by the Federal Republic of Germany, </w:t>
      </w:r>
      <w:proofErr w:type="gramStart"/>
      <w:r w:rsidRPr="00297478">
        <w:rPr>
          <w:rFonts w:ascii="Arial" w:eastAsia="Times New Roman" w:hAnsi="Arial" w:cs="Arial"/>
          <w:color w:val="000000"/>
          <w:sz w:val="18"/>
          <w:szCs w:val="18"/>
          <w:lang w:val="en-US" w:eastAsia="fr-FR"/>
        </w:rPr>
        <w:t>in so</w:t>
      </w:r>
      <w:proofErr w:type="gramEnd"/>
      <w:r w:rsidRPr="00297478">
        <w:rPr>
          <w:rFonts w:ascii="Arial" w:eastAsia="Times New Roman" w:hAnsi="Arial" w:cs="Arial"/>
          <w:color w:val="000000"/>
          <w:sz w:val="18"/>
          <w:szCs w:val="18"/>
          <w:lang w:val="en-US" w:eastAsia="fr-FR"/>
        </w:rPr>
        <w:t xml:space="preserve"> far as the principle of energy solidarity is not an autonomous legal criterion that may be invoked in order to assess the legality of an act. According to the Commission, that principle is binding on the EU legislature only when it adopts an act of secondary legislation. The Commission, as executive body, is bound only by the requirements laid down in Article 36(1</w:t>
      </w:r>
      <w:proofErr w:type="gramStart"/>
      <w:r w:rsidRPr="00297478">
        <w:rPr>
          <w:rFonts w:ascii="Arial" w:eastAsia="Times New Roman" w:hAnsi="Arial" w:cs="Arial"/>
          <w:color w:val="000000"/>
          <w:sz w:val="18"/>
          <w:szCs w:val="18"/>
          <w:lang w:val="en-US" w:eastAsia="fr-FR"/>
        </w:rPr>
        <w:t>)(</w:t>
      </w:r>
      <w:proofErr w:type="gramEnd"/>
      <w:r w:rsidRPr="00297478">
        <w:rPr>
          <w:rFonts w:ascii="Arial" w:eastAsia="Times New Roman" w:hAnsi="Arial" w:cs="Arial"/>
          <w:color w:val="000000"/>
          <w:sz w:val="18"/>
          <w:szCs w:val="18"/>
          <w:lang w:val="en-US" w:eastAsia="fr-FR"/>
        </w:rPr>
        <w:t>a) of Directive 2009/73, and the principle of energy solidarity can only be a criterion in the light of which the provisions of secondary legislation are interpreted.</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Findings of the Court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7" w:name="point37"/>
      <w:proofErr w:type="gramStart"/>
      <w:r w:rsidRPr="00297478">
        <w:rPr>
          <w:rFonts w:ascii="Arial" w:eastAsia="Times New Roman" w:hAnsi="Arial" w:cs="Arial"/>
          <w:color w:val="006699"/>
          <w:sz w:val="18"/>
          <w:szCs w:val="18"/>
          <w:lang w:val="en-US" w:eastAsia="fr-FR"/>
        </w:rPr>
        <w:t>37</w:t>
      </w:r>
      <w:bookmarkEnd w:id="37"/>
      <w:r w:rsidRPr="00297478">
        <w:rPr>
          <w:rFonts w:ascii="Arial" w:eastAsia="Times New Roman" w:hAnsi="Arial" w:cs="Arial"/>
          <w:color w:val="000000"/>
          <w:sz w:val="18"/>
          <w:szCs w:val="18"/>
          <w:lang w:val="en-US" w:eastAsia="fr-FR"/>
        </w:rPr>
        <w:t xml:space="preserve">      Article 194 TFEU provides in paragraph 1 that, in the context of the establishment and functioning of the internal market and with regard for the need to preserve and improve the environment, European Union policy on energy is </w:t>
      </w:r>
      <w:r w:rsidRPr="00297478">
        <w:rPr>
          <w:rFonts w:ascii="Arial" w:eastAsia="Times New Roman" w:hAnsi="Arial" w:cs="Arial"/>
          <w:color w:val="000000"/>
          <w:sz w:val="18"/>
          <w:szCs w:val="18"/>
          <w:lang w:val="en-US" w:eastAsia="fr-FR"/>
        </w:rPr>
        <w:lastRenderedPageBreak/>
        <w:t>to aim, in a spirit of solidarity between Member States, to ensure the functioning of the energy market, ensure security of energy supply in the European Union, promote energy efficiency and energy saving and the development of new and renewable forms of energy and promote the interconnection of energy networks (judgment of 4 May 2016,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Austria</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346/14, EU:C:2016:322, paragraph 72 and the case-law cited).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8" w:name="point38"/>
      <w:r w:rsidRPr="00297478">
        <w:rPr>
          <w:rFonts w:ascii="Arial" w:eastAsia="Times New Roman" w:hAnsi="Arial" w:cs="Arial"/>
          <w:color w:val="006699"/>
          <w:sz w:val="18"/>
          <w:szCs w:val="18"/>
          <w:lang w:val="en-US" w:eastAsia="fr-FR"/>
        </w:rPr>
        <w:t>38</w:t>
      </w:r>
      <w:bookmarkEnd w:id="38"/>
      <w:r w:rsidRPr="00297478">
        <w:rPr>
          <w:rFonts w:ascii="Arial" w:eastAsia="Times New Roman" w:hAnsi="Arial" w:cs="Arial"/>
          <w:color w:val="000000"/>
          <w:sz w:val="18"/>
          <w:szCs w:val="18"/>
          <w:lang w:val="en-US" w:eastAsia="fr-FR"/>
        </w:rPr>
        <w:t>      Thus, the spirit of solidarity between Member States, mentioned in that provision, constitutes a specific expression, in the field of energy, of the principle of solidarity, which is itself one of the fundamental principles of EU law.</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39" w:name="point39"/>
      <w:r w:rsidRPr="00297478">
        <w:rPr>
          <w:rFonts w:ascii="Arial" w:eastAsia="Times New Roman" w:hAnsi="Arial" w:cs="Arial"/>
          <w:color w:val="006699"/>
          <w:sz w:val="18"/>
          <w:szCs w:val="18"/>
          <w:lang w:val="en-US" w:eastAsia="fr-FR"/>
        </w:rPr>
        <w:t>39</w:t>
      </w:r>
      <w:bookmarkEnd w:id="39"/>
      <w:r w:rsidRPr="00297478">
        <w:rPr>
          <w:rFonts w:ascii="Arial" w:eastAsia="Times New Roman" w:hAnsi="Arial" w:cs="Arial"/>
          <w:color w:val="000000"/>
          <w:sz w:val="18"/>
          <w:szCs w:val="18"/>
          <w:lang w:val="en-US" w:eastAsia="fr-FR"/>
        </w:rPr>
        <w:t xml:space="preserve">      In addition to Article 194(1) TFEU, several other provisions of the Treaties refer to the principle of solidarity. As regards the EU Treaty, in the preamble thereto, the Member States declare that, by establishing the European Union, they intend ‘to deepen the solidarity between their </w:t>
      </w:r>
      <w:proofErr w:type="gramStart"/>
      <w:r w:rsidRPr="00297478">
        <w:rPr>
          <w:rFonts w:ascii="Arial" w:eastAsia="Times New Roman" w:hAnsi="Arial" w:cs="Arial"/>
          <w:color w:val="000000"/>
          <w:sz w:val="18"/>
          <w:szCs w:val="18"/>
          <w:lang w:val="en-US" w:eastAsia="fr-FR"/>
        </w:rPr>
        <w:t>peoples’</w:t>
      </w:r>
      <w:proofErr w:type="gramEnd"/>
      <w:r w:rsidRPr="00297478">
        <w:rPr>
          <w:rFonts w:ascii="Arial" w:eastAsia="Times New Roman" w:hAnsi="Arial" w:cs="Arial"/>
          <w:color w:val="000000"/>
          <w:sz w:val="18"/>
          <w:szCs w:val="18"/>
          <w:lang w:val="en-US" w:eastAsia="fr-FR"/>
        </w:rPr>
        <w:t xml:space="preserve">. Solidarity </w:t>
      </w:r>
      <w:proofErr w:type="gramStart"/>
      <w:r w:rsidRPr="00297478">
        <w:rPr>
          <w:rFonts w:ascii="Arial" w:eastAsia="Times New Roman" w:hAnsi="Arial" w:cs="Arial"/>
          <w:color w:val="000000"/>
          <w:sz w:val="18"/>
          <w:szCs w:val="18"/>
          <w:lang w:val="en-US" w:eastAsia="fr-FR"/>
        </w:rPr>
        <w:t>is also mentioned</w:t>
      </w:r>
      <w:proofErr w:type="gramEnd"/>
      <w:r w:rsidRPr="00297478">
        <w:rPr>
          <w:rFonts w:ascii="Arial" w:eastAsia="Times New Roman" w:hAnsi="Arial" w:cs="Arial"/>
          <w:color w:val="000000"/>
          <w:sz w:val="18"/>
          <w:szCs w:val="18"/>
          <w:lang w:val="en-US" w:eastAsia="fr-FR"/>
        </w:rPr>
        <w:t xml:space="preserve"> in Article 2 TEU, as one of the characteristics of a society founded on the values common to the Member States, and in the third subparagraph of Article 3(3) TEU, according to which the European Union is to promote, inter alia, solidarity among Member States. In accordance with Article 21(1) TEU, solidarity is also one of the principles governing the European Union’s external action and, under Article 24(2) and (3) </w:t>
      </w:r>
      <w:proofErr w:type="gramStart"/>
      <w:r w:rsidRPr="00297478">
        <w:rPr>
          <w:rFonts w:ascii="Arial" w:eastAsia="Times New Roman" w:hAnsi="Arial" w:cs="Arial"/>
          <w:color w:val="000000"/>
          <w:sz w:val="18"/>
          <w:szCs w:val="18"/>
          <w:lang w:val="en-US" w:eastAsia="fr-FR"/>
        </w:rPr>
        <w:t>TEU,</w:t>
      </w:r>
      <w:proofErr w:type="gramEnd"/>
      <w:r w:rsidRPr="00297478">
        <w:rPr>
          <w:rFonts w:ascii="Arial" w:eastAsia="Times New Roman" w:hAnsi="Arial" w:cs="Arial"/>
          <w:color w:val="000000"/>
          <w:sz w:val="18"/>
          <w:szCs w:val="18"/>
          <w:lang w:val="en-US" w:eastAsia="fr-FR"/>
        </w:rPr>
        <w:t xml:space="preserve"> it is among the provisions relating to the common foreign and security policy as ‘mutual political solidarity’ among Member States.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0" w:name="point40"/>
      <w:r w:rsidRPr="00297478">
        <w:rPr>
          <w:rFonts w:ascii="Arial" w:eastAsia="Times New Roman" w:hAnsi="Arial" w:cs="Arial"/>
          <w:color w:val="006699"/>
          <w:sz w:val="18"/>
          <w:szCs w:val="18"/>
          <w:lang w:val="en-US" w:eastAsia="fr-FR"/>
        </w:rPr>
        <w:t>40</w:t>
      </w:r>
      <w:bookmarkEnd w:id="40"/>
      <w:r w:rsidRPr="00297478">
        <w:rPr>
          <w:rFonts w:ascii="Arial" w:eastAsia="Times New Roman" w:hAnsi="Arial" w:cs="Arial"/>
          <w:color w:val="000000"/>
          <w:sz w:val="18"/>
          <w:szCs w:val="18"/>
          <w:lang w:val="en-US" w:eastAsia="fr-FR"/>
        </w:rPr>
        <w:t xml:space="preserve">      In the case of the FEU Treaty, Article 67(2) expressly refers to solidarity between Member States in matters of asylum, immigration and external border controls, and the application of that principle in that area </w:t>
      </w:r>
      <w:proofErr w:type="gramStart"/>
      <w:r w:rsidRPr="00297478">
        <w:rPr>
          <w:rFonts w:ascii="Arial" w:eastAsia="Times New Roman" w:hAnsi="Arial" w:cs="Arial"/>
          <w:color w:val="000000"/>
          <w:sz w:val="18"/>
          <w:szCs w:val="18"/>
          <w:lang w:val="en-US" w:eastAsia="fr-FR"/>
        </w:rPr>
        <w:t>is confirmed</w:t>
      </w:r>
      <w:proofErr w:type="gramEnd"/>
      <w:r w:rsidRPr="00297478">
        <w:rPr>
          <w:rFonts w:ascii="Arial" w:eastAsia="Times New Roman" w:hAnsi="Arial" w:cs="Arial"/>
          <w:color w:val="000000"/>
          <w:sz w:val="18"/>
          <w:szCs w:val="18"/>
          <w:lang w:val="en-US" w:eastAsia="fr-FR"/>
        </w:rPr>
        <w:t xml:space="preserve"> in Article 80 TFEU. </w:t>
      </w:r>
      <w:proofErr w:type="gramStart"/>
      <w:r w:rsidRPr="00297478">
        <w:rPr>
          <w:rFonts w:ascii="Arial" w:eastAsia="Times New Roman" w:hAnsi="Arial" w:cs="Arial"/>
          <w:color w:val="000000"/>
          <w:sz w:val="18"/>
          <w:szCs w:val="18"/>
          <w:lang w:val="en-US" w:eastAsia="fr-FR"/>
        </w:rPr>
        <w:t>In Title VIII of Part Three of the FEU Treaty, specifically in Chapter 1 which covers economic policy, Article 122(1) TFEU also refers explicitly to the spirit of solidarity between Member States, which additionally features in Article 222 TFEU, according to which the European Union and its Member States are to act jointly in a spirit of solidarity where a Member State is the object of a terrorist attack or the victim of a disaster.</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1" w:name="point41"/>
      <w:proofErr w:type="gramStart"/>
      <w:r w:rsidRPr="00297478">
        <w:rPr>
          <w:rFonts w:ascii="Arial" w:eastAsia="Times New Roman" w:hAnsi="Arial" w:cs="Arial"/>
          <w:color w:val="006699"/>
          <w:sz w:val="18"/>
          <w:szCs w:val="18"/>
          <w:lang w:val="en-US" w:eastAsia="fr-FR"/>
        </w:rPr>
        <w:t>41</w:t>
      </w:r>
      <w:bookmarkEnd w:id="41"/>
      <w:r w:rsidRPr="00297478">
        <w:rPr>
          <w:rFonts w:ascii="Arial" w:eastAsia="Times New Roman" w:hAnsi="Arial" w:cs="Arial"/>
          <w:color w:val="000000"/>
          <w:sz w:val="18"/>
          <w:szCs w:val="18"/>
          <w:lang w:val="en-US" w:eastAsia="fr-FR"/>
        </w:rPr>
        <w:t>      It follows that, as the General Court correctly noted in paragraph 69 of the judgment under appeal, the principle of solidarity underpins the entire legal system of the European Union (see, to that effect, judgments of 7 February 1973,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Italy</w:t>
      </w:r>
      <w:r w:rsidRPr="00297478">
        <w:rPr>
          <w:rFonts w:ascii="Arial" w:eastAsia="Times New Roman" w:hAnsi="Arial" w:cs="Arial"/>
          <w:color w:val="000000"/>
          <w:sz w:val="18"/>
          <w:szCs w:val="18"/>
          <w:lang w:val="en-US" w:eastAsia="fr-FR"/>
        </w:rPr>
        <w:t>, 39/72, EU:C:1973:13, paragraph 25, and of 7 February 1979,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United Kingdom</w:t>
      </w:r>
      <w:r w:rsidRPr="00297478">
        <w:rPr>
          <w:rFonts w:ascii="Arial" w:eastAsia="Times New Roman" w:hAnsi="Arial" w:cs="Arial"/>
          <w:color w:val="000000"/>
          <w:sz w:val="18"/>
          <w:szCs w:val="18"/>
          <w:lang w:val="en-US" w:eastAsia="fr-FR"/>
        </w:rPr>
        <w:t>, 128/78, EU:C:1979:32, paragraph 12) and it is closely linked to the principle of sincere cooperation, laid down in Article 4(3) TEU, pursuant to which the European Union and the Member States are, in full mutual respect, to assist each other in carrying out tasks which flow from the Treaties.</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In that regard, the Court has held, inter alia, that that principle not only obliges the Member States to take all the measures necessary to guarantee the application and effectiveness of EU law but also imposes on the EU institutions mutual duties to cooperate in good faith with the Member States (judgment of 8 October 2020, </w:t>
      </w:r>
      <w:r w:rsidRPr="00297478">
        <w:rPr>
          <w:rFonts w:ascii="Arial" w:eastAsia="Times New Roman" w:hAnsi="Arial" w:cs="Arial"/>
          <w:i/>
          <w:iCs/>
          <w:color w:val="000000"/>
          <w:sz w:val="18"/>
          <w:szCs w:val="18"/>
          <w:lang w:val="en-US" w:eastAsia="fr-FR"/>
        </w:rPr>
        <w:t>Union des industries de la protection des plantes</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514/19, EU:C:2020:803, paragraph 49 and the case-law cited).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2" w:name="point42"/>
      <w:proofErr w:type="gramStart"/>
      <w:r w:rsidRPr="00297478">
        <w:rPr>
          <w:rFonts w:ascii="Arial" w:eastAsia="Times New Roman" w:hAnsi="Arial" w:cs="Arial"/>
          <w:color w:val="006699"/>
          <w:sz w:val="18"/>
          <w:szCs w:val="18"/>
          <w:lang w:val="en-US" w:eastAsia="fr-FR"/>
        </w:rPr>
        <w:t>42</w:t>
      </w:r>
      <w:bookmarkEnd w:id="42"/>
      <w:r w:rsidRPr="00297478">
        <w:rPr>
          <w:rFonts w:ascii="Arial" w:eastAsia="Times New Roman" w:hAnsi="Arial" w:cs="Arial"/>
          <w:color w:val="000000"/>
          <w:sz w:val="18"/>
          <w:szCs w:val="18"/>
          <w:lang w:val="en-US" w:eastAsia="fr-FR"/>
        </w:rPr>
        <w:t>      As regards the allegedly abstract nature of the principle of solidarity, invoked by the Federal Republic of Germany in order to argue that it cannot be used in the context of judicial review of the legality of Commission acts, it must be pointed out that the Court, as the Advocate General noted in point 69 of his Opinion, expressly referred to the principle of solidarity mentioned in Article 80 TFEU in coming to the conclusion that, in essence, Member States had failed to fulfil certain of their obligations under EU law on border controls, asylum and immigration (judgments of 6 September 2017, </w:t>
      </w:r>
      <w:r w:rsidRPr="00297478">
        <w:rPr>
          <w:rFonts w:ascii="Arial" w:eastAsia="Times New Roman" w:hAnsi="Arial" w:cs="Arial"/>
          <w:i/>
          <w:iCs/>
          <w:color w:val="000000"/>
          <w:sz w:val="18"/>
          <w:szCs w:val="18"/>
          <w:lang w:val="en-US" w:eastAsia="fr-FR"/>
        </w:rPr>
        <w:t>Slovakia and Hungary</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Council</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643/15 and C</w:t>
      </w:r>
      <w:r w:rsidRPr="00297478">
        <w:rPr>
          <w:rFonts w:ascii="Arial" w:eastAsia="Times New Roman" w:hAnsi="Arial" w:cs="Arial"/>
          <w:color w:val="000000"/>
          <w:sz w:val="18"/>
          <w:szCs w:val="18"/>
          <w:lang w:val="en-US" w:eastAsia="fr-FR"/>
        </w:rPr>
        <w:noBreakHyphen/>
        <w:t>647/15, EU:C:2017:631, paragraph 291, and of 2 April 2020,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Poland, Hungary and Czech Republic (Temporary mechanism for the relocation of applicants for international protection)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715/17, C</w:t>
      </w:r>
      <w:r w:rsidRPr="00297478">
        <w:rPr>
          <w:rFonts w:ascii="Arial" w:eastAsia="Times New Roman" w:hAnsi="Arial" w:cs="Arial"/>
          <w:color w:val="000000"/>
          <w:sz w:val="18"/>
          <w:szCs w:val="18"/>
          <w:lang w:val="en-US" w:eastAsia="fr-FR"/>
        </w:rPr>
        <w:noBreakHyphen/>
        <w:t>718/17 and C</w:t>
      </w:r>
      <w:r w:rsidRPr="00297478">
        <w:rPr>
          <w:rFonts w:ascii="Arial" w:eastAsia="Times New Roman" w:hAnsi="Arial" w:cs="Arial"/>
          <w:color w:val="000000"/>
          <w:sz w:val="18"/>
          <w:szCs w:val="18"/>
          <w:lang w:val="en-US" w:eastAsia="fr-FR"/>
        </w:rPr>
        <w:noBreakHyphen/>
        <w:t>719/17, EU:C:2020:257, paragraphs 80 and 181).</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3" w:name="point43"/>
      <w:r w:rsidRPr="00297478">
        <w:rPr>
          <w:rFonts w:ascii="Arial" w:eastAsia="Times New Roman" w:hAnsi="Arial" w:cs="Arial"/>
          <w:color w:val="006699"/>
          <w:sz w:val="18"/>
          <w:szCs w:val="18"/>
          <w:lang w:val="en-US" w:eastAsia="fr-FR"/>
        </w:rPr>
        <w:t>43</w:t>
      </w:r>
      <w:bookmarkEnd w:id="43"/>
      <w:r w:rsidRPr="00297478">
        <w:rPr>
          <w:rFonts w:ascii="Arial" w:eastAsia="Times New Roman" w:hAnsi="Arial" w:cs="Arial"/>
          <w:color w:val="000000"/>
          <w:sz w:val="18"/>
          <w:szCs w:val="18"/>
          <w:lang w:val="en-US" w:eastAsia="fr-FR"/>
        </w:rPr>
        <w:t>      That being so, there is nothing that would permit the inference that the principle of solidarity referred to in Article 194(1) TFEU cannot, as such, produce binding legal effects on the Member States and institutions of the European Union. On the contrary, as the Advocate General noted in points 76 and 77 of his Opinion, that principle, as is apparent from the wording and structure of that provision, forms the basis of all of the objectives of the European Union’s energy policy, serving as the thread that brings them together and gives them coherence.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4" w:name="point44"/>
      <w:r w:rsidRPr="00297478">
        <w:rPr>
          <w:rFonts w:ascii="Arial" w:eastAsia="Times New Roman" w:hAnsi="Arial" w:cs="Arial"/>
          <w:color w:val="006699"/>
          <w:sz w:val="18"/>
          <w:szCs w:val="18"/>
          <w:lang w:val="en-US" w:eastAsia="fr-FR"/>
        </w:rPr>
        <w:t>44</w:t>
      </w:r>
      <w:bookmarkEnd w:id="44"/>
      <w:r w:rsidRPr="00297478">
        <w:rPr>
          <w:rFonts w:ascii="Arial" w:eastAsia="Times New Roman" w:hAnsi="Arial" w:cs="Arial"/>
          <w:color w:val="000000"/>
          <w:sz w:val="18"/>
          <w:szCs w:val="18"/>
          <w:lang w:val="en-US" w:eastAsia="fr-FR"/>
        </w:rPr>
        <w:t xml:space="preserve">      It follows, in particular, that acts adopted by the EU institutions, including by the Commission under that policy, </w:t>
      </w:r>
      <w:proofErr w:type="gramStart"/>
      <w:r w:rsidRPr="00297478">
        <w:rPr>
          <w:rFonts w:ascii="Arial" w:eastAsia="Times New Roman" w:hAnsi="Arial" w:cs="Arial"/>
          <w:color w:val="000000"/>
          <w:sz w:val="18"/>
          <w:szCs w:val="18"/>
          <w:lang w:val="en-US" w:eastAsia="fr-FR"/>
        </w:rPr>
        <w:t>must be interpreted</w:t>
      </w:r>
      <w:proofErr w:type="gramEnd"/>
      <w:r w:rsidRPr="00297478">
        <w:rPr>
          <w:rFonts w:ascii="Arial" w:eastAsia="Times New Roman" w:hAnsi="Arial" w:cs="Arial"/>
          <w:color w:val="000000"/>
          <w:sz w:val="18"/>
          <w:szCs w:val="18"/>
          <w:lang w:val="en-US" w:eastAsia="fr-FR"/>
        </w:rPr>
        <w:t>, and their legality assessed, in the light of the principle of energy solidarity.</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5" w:name="point45"/>
      <w:proofErr w:type="gramStart"/>
      <w:r w:rsidRPr="00297478">
        <w:rPr>
          <w:rFonts w:ascii="Arial" w:eastAsia="Times New Roman" w:hAnsi="Arial" w:cs="Arial"/>
          <w:color w:val="006699"/>
          <w:sz w:val="18"/>
          <w:szCs w:val="18"/>
          <w:lang w:val="en-US" w:eastAsia="fr-FR"/>
        </w:rPr>
        <w:t>45</w:t>
      </w:r>
      <w:bookmarkEnd w:id="45"/>
      <w:proofErr w:type="gramEnd"/>
      <w:r w:rsidRPr="00297478">
        <w:rPr>
          <w:rFonts w:ascii="Arial" w:eastAsia="Times New Roman" w:hAnsi="Arial" w:cs="Arial"/>
          <w:color w:val="000000"/>
          <w:sz w:val="18"/>
          <w:szCs w:val="18"/>
          <w:lang w:val="en-US" w:eastAsia="fr-FR"/>
        </w:rPr>
        <w:t>      In that regard, the Federal Republic of Germany’s argument that the principle of energy solidarity could at most be binding on the EU legislature, and not on the Commission as the executive body, cannot be upheld. That principle, like general principles of EU law, constitutes a criterion for assessing the legality of measures adopted by the EU institutions.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6" w:name="point46"/>
      <w:proofErr w:type="gramStart"/>
      <w:r w:rsidRPr="00297478">
        <w:rPr>
          <w:rFonts w:ascii="Arial" w:eastAsia="Times New Roman" w:hAnsi="Arial" w:cs="Arial"/>
          <w:color w:val="006699"/>
          <w:sz w:val="18"/>
          <w:szCs w:val="18"/>
          <w:lang w:val="en-US" w:eastAsia="fr-FR"/>
        </w:rPr>
        <w:t>46</w:t>
      </w:r>
      <w:bookmarkEnd w:id="46"/>
      <w:r w:rsidRPr="00297478">
        <w:rPr>
          <w:rFonts w:ascii="Arial" w:eastAsia="Times New Roman" w:hAnsi="Arial" w:cs="Arial"/>
          <w:color w:val="000000"/>
          <w:sz w:val="18"/>
          <w:szCs w:val="18"/>
          <w:lang w:val="en-US" w:eastAsia="fr-FR"/>
        </w:rPr>
        <w:t>      Therefore, contrary to the arguments advanced by the Federal Republic of Germany, according to which Article 36(1) of Directive 2009/73 gives specific form to the principle of energy solidarity in secondary legislation and is consequently the only article in the light of which the legality of the decision at issue should be reviewed, it must be held that that principle can be relied on in matters of EU energy policy in the context of the establishment and functioning of the internal market in natural gas.</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7" w:name="point47"/>
      <w:proofErr w:type="gramStart"/>
      <w:r w:rsidRPr="00297478">
        <w:rPr>
          <w:rFonts w:ascii="Arial" w:eastAsia="Times New Roman" w:hAnsi="Arial" w:cs="Arial"/>
          <w:color w:val="006699"/>
          <w:sz w:val="18"/>
          <w:szCs w:val="18"/>
          <w:lang w:val="en-US" w:eastAsia="fr-FR"/>
        </w:rPr>
        <w:lastRenderedPageBreak/>
        <w:t>47</w:t>
      </w:r>
      <w:bookmarkEnd w:id="47"/>
      <w:r w:rsidRPr="00297478">
        <w:rPr>
          <w:rFonts w:ascii="Arial" w:eastAsia="Times New Roman" w:hAnsi="Arial" w:cs="Arial"/>
          <w:color w:val="000000"/>
          <w:sz w:val="18"/>
          <w:szCs w:val="18"/>
          <w:lang w:val="en-US" w:eastAsia="fr-FR"/>
        </w:rPr>
        <w:t>      As the Advocate General stated in points 76 and 104 of his Opinion, that principle cannot, moreover, be regarded as being synonymous with or limited to the requirement to ensure security of supply, referred to in Article 36(1) of Directive 2009/73, which is merely one of the manifestations of the principle of energy solidarity, since Article 194(1) TFEU sets out, in points (a) to (d), four different objectives which, in a spirit of solidarity between Member States, EU energy policy aims to achieve.</w:t>
      </w:r>
      <w:proofErr w:type="gramEnd"/>
      <w:r w:rsidRPr="00297478">
        <w:rPr>
          <w:rFonts w:ascii="Arial" w:eastAsia="Times New Roman" w:hAnsi="Arial" w:cs="Arial"/>
          <w:color w:val="000000"/>
          <w:sz w:val="18"/>
          <w:szCs w:val="18"/>
          <w:lang w:val="en-US" w:eastAsia="fr-FR"/>
        </w:rPr>
        <w:t xml:space="preserve"> Indeed, Article 36(1) of that directive cannot be read as limiting the scope of the principle of energy solidarity, referred to in Article 194(1) TFEU, which, as has been pointed out in paragraph 43 of the present judgment, governs the whole of EU energy policy.</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8" w:name="point48"/>
      <w:r w:rsidRPr="00297478">
        <w:rPr>
          <w:rFonts w:ascii="Arial" w:eastAsia="Times New Roman" w:hAnsi="Arial" w:cs="Arial"/>
          <w:color w:val="006699"/>
          <w:sz w:val="18"/>
          <w:szCs w:val="18"/>
          <w:lang w:val="en-US" w:eastAsia="fr-FR"/>
        </w:rPr>
        <w:t>48</w:t>
      </w:r>
      <w:bookmarkEnd w:id="48"/>
      <w:r w:rsidRPr="00297478">
        <w:rPr>
          <w:rFonts w:ascii="Arial" w:eastAsia="Times New Roman" w:hAnsi="Arial" w:cs="Arial"/>
          <w:color w:val="000000"/>
          <w:sz w:val="18"/>
          <w:szCs w:val="18"/>
          <w:lang w:val="en-US" w:eastAsia="fr-FR"/>
        </w:rPr>
        <w:t>      Consequently, the absence in Article 36(1) of Directive 2009/73 of any reference to the principle of energy solidarity did not relieve the Commission of the need to examine the effect of that principle on the derogating measures adopted by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49" w:name="point49"/>
      <w:proofErr w:type="gramStart"/>
      <w:r w:rsidRPr="00297478">
        <w:rPr>
          <w:rFonts w:ascii="Arial" w:eastAsia="Times New Roman" w:hAnsi="Arial" w:cs="Arial"/>
          <w:color w:val="006699"/>
          <w:sz w:val="18"/>
          <w:szCs w:val="18"/>
          <w:lang w:val="en-US" w:eastAsia="fr-FR"/>
        </w:rPr>
        <w:t>49</w:t>
      </w:r>
      <w:bookmarkEnd w:id="49"/>
      <w:r w:rsidRPr="00297478">
        <w:rPr>
          <w:rFonts w:ascii="Arial" w:eastAsia="Times New Roman" w:hAnsi="Arial" w:cs="Arial"/>
          <w:color w:val="000000"/>
          <w:sz w:val="18"/>
          <w:szCs w:val="18"/>
          <w:lang w:val="en-US" w:eastAsia="fr-FR"/>
        </w:rPr>
        <w:t>      It is apparent from the foregoing that the General Court was right to hold, in paragraph 70 of the judgment under appeal, that the principle of solidarity entails rights and obligations both for the European Union and for the Member States, the European Union being bound by an obligation of solidarity towards the Member States and the Member States being bound by an obligation of solidarity between themselves and with regard to the common interest of the European Union and the policies pursued by it.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0" w:name="point50"/>
      <w:r w:rsidRPr="00297478">
        <w:rPr>
          <w:rFonts w:ascii="Arial" w:eastAsia="Times New Roman" w:hAnsi="Arial" w:cs="Arial"/>
          <w:color w:val="006699"/>
          <w:sz w:val="18"/>
          <w:szCs w:val="18"/>
          <w:lang w:val="en-US" w:eastAsia="fr-FR"/>
        </w:rPr>
        <w:t>50</w:t>
      </w:r>
      <w:bookmarkEnd w:id="50"/>
      <w:r w:rsidRPr="00297478">
        <w:rPr>
          <w:rFonts w:ascii="Arial" w:eastAsia="Times New Roman" w:hAnsi="Arial" w:cs="Arial"/>
          <w:color w:val="000000"/>
          <w:sz w:val="18"/>
          <w:szCs w:val="18"/>
          <w:lang w:val="en-US" w:eastAsia="fr-FR"/>
        </w:rPr>
        <w:t xml:space="preserve">      That finding </w:t>
      </w:r>
      <w:proofErr w:type="gramStart"/>
      <w:r w:rsidRPr="00297478">
        <w:rPr>
          <w:rFonts w:ascii="Arial" w:eastAsia="Times New Roman" w:hAnsi="Arial" w:cs="Arial"/>
          <w:color w:val="000000"/>
          <w:sz w:val="18"/>
          <w:szCs w:val="18"/>
          <w:lang w:val="en-US" w:eastAsia="fr-FR"/>
        </w:rPr>
        <w:t>is not called</w:t>
      </w:r>
      <w:proofErr w:type="gramEnd"/>
      <w:r w:rsidRPr="00297478">
        <w:rPr>
          <w:rFonts w:ascii="Arial" w:eastAsia="Times New Roman" w:hAnsi="Arial" w:cs="Arial"/>
          <w:color w:val="000000"/>
          <w:sz w:val="18"/>
          <w:szCs w:val="18"/>
          <w:lang w:val="en-US" w:eastAsia="fr-FR"/>
        </w:rPr>
        <w:t xml:space="preserve"> in question by the arguments advanced by the Commission at the hearing, according to which it had not received information concerning the risk to security of supply in the Polish market for gas, which justified the fact that no account was taken of the principle of energy solidarity in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1" w:name="point51"/>
      <w:r w:rsidRPr="00297478">
        <w:rPr>
          <w:rFonts w:ascii="Arial" w:eastAsia="Times New Roman" w:hAnsi="Arial" w:cs="Arial"/>
          <w:color w:val="006699"/>
          <w:sz w:val="18"/>
          <w:szCs w:val="18"/>
          <w:lang w:val="en-US" w:eastAsia="fr-FR"/>
        </w:rPr>
        <w:t>51</w:t>
      </w:r>
      <w:bookmarkEnd w:id="51"/>
      <w:r w:rsidRPr="00297478">
        <w:rPr>
          <w:rFonts w:ascii="Arial" w:eastAsia="Times New Roman" w:hAnsi="Arial" w:cs="Arial"/>
          <w:color w:val="000000"/>
          <w:sz w:val="18"/>
          <w:szCs w:val="18"/>
          <w:lang w:val="en-US" w:eastAsia="fr-FR"/>
        </w:rPr>
        <w:t xml:space="preserve">      Such a failure to communicate, unprompted, information concerning the risks for security of supply in the Polish market for gas cannot justify the lack of any examination by the Commission of the impact that the decision at issue could have on the gas market of the Member States liable to </w:t>
      </w:r>
      <w:proofErr w:type="gramStart"/>
      <w:r w:rsidRPr="00297478">
        <w:rPr>
          <w:rFonts w:ascii="Arial" w:eastAsia="Times New Roman" w:hAnsi="Arial" w:cs="Arial"/>
          <w:color w:val="000000"/>
          <w:sz w:val="18"/>
          <w:szCs w:val="18"/>
          <w:lang w:val="en-US" w:eastAsia="fr-FR"/>
        </w:rPr>
        <w:t>be affected</w:t>
      </w:r>
      <w:proofErr w:type="gramEnd"/>
      <w:r w:rsidRPr="00297478">
        <w:rPr>
          <w:rFonts w:ascii="Arial" w:eastAsia="Times New Roman" w:hAnsi="Arial" w:cs="Arial"/>
          <w:color w:val="000000"/>
          <w:sz w:val="18"/>
          <w:szCs w:val="18"/>
          <w:lang w:val="en-US" w:eastAsia="fr-FR"/>
        </w:rPr>
        <w: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2" w:name="point52"/>
      <w:r w:rsidRPr="00297478">
        <w:rPr>
          <w:rFonts w:ascii="Arial" w:eastAsia="Times New Roman" w:hAnsi="Arial" w:cs="Arial"/>
          <w:color w:val="006699"/>
          <w:sz w:val="18"/>
          <w:szCs w:val="18"/>
          <w:lang w:val="en-US" w:eastAsia="fr-FR"/>
        </w:rPr>
        <w:t>52</w:t>
      </w:r>
      <w:bookmarkEnd w:id="52"/>
      <w:r w:rsidRPr="00297478">
        <w:rPr>
          <w:rFonts w:ascii="Arial" w:eastAsia="Times New Roman" w:hAnsi="Arial" w:cs="Arial"/>
          <w:color w:val="000000"/>
          <w:sz w:val="18"/>
          <w:szCs w:val="18"/>
          <w:lang w:val="en-US" w:eastAsia="fr-FR"/>
        </w:rPr>
        <w:t xml:space="preserve">      Thus, the principle of energy solidarity, read in conjunction with the principle of sincere cooperation, requires that the Commission verify whether there is a danger for gas supply on the markets of the Member States, when adopting a decision </w:t>
      </w:r>
      <w:proofErr w:type="gramStart"/>
      <w:r w:rsidRPr="00297478">
        <w:rPr>
          <w:rFonts w:ascii="Arial" w:eastAsia="Times New Roman" w:hAnsi="Arial" w:cs="Arial"/>
          <w:color w:val="000000"/>
          <w:sz w:val="18"/>
          <w:szCs w:val="18"/>
          <w:lang w:val="en-US" w:eastAsia="fr-FR"/>
        </w:rPr>
        <w:t>on the basis of</w:t>
      </w:r>
      <w:proofErr w:type="gramEnd"/>
      <w:r w:rsidRPr="00297478">
        <w:rPr>
          <w:rFonts w:ascii="Arial" w:eastAsia="Times New Roman" w:hAnsi="Arial" w:cs="Arial"/>
          <w:color w:val="000000"/>
          <w:sz w:val="18"/>
          <w:szCs w:val="18"/>
          <w:lang w:val="en-US" w:eastAsia="fr-FR"/>
        </w:rPr>
        <w:t xml:space="preserve"> Article 36 of Directive 2009/73.</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3" w:name="point53"/>
      <w:r w:rsidRPr="00297478">
        <w:rPr>
          <w:rFonts w:ascii="Arial" w:eastAsia="Times New Roman" w:hAnsi="Arial" w:cs="Arial"/>
          <w:color w:val="006699"/>
          <w:sz w:val="18"/>
          <w:szCs w:val="18"/>
          <w:lang w:val="en-US" w:eastAsia="fr-FR"/>
        </w:rPr>
        <w:t>53</w:t>
      </w:r>
      <w:bookmarkEnd w:id="53"/>
      <w:r w:rsidRPr="00297478">
        <w:rPr>
          <w:rFonts w:ascii="Arial" w:eastAsia="Times New Roman" w:hAnsi="Arial" w:cs="Arial"/>
          <w:color w:val="000000"/>
          <w:sz w:val="18"/>
          <w:szCs w:val="18"/>
          <w:lang w:val="en-US" w:eastAsia="fr-FR"/>
        </w:rPr>
        <w:t>      In addition, as the Advocate General noted in point 116 of his Opinion, the principle of energy solidarity requires that the EU institutions, including the Commission, conduct an analysis of the interests involved in the light of that principle, taking into account the interests both of the Member States and of the European Union as a whole.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4" w:name="point54"/>
      <w:r w:rsidRPr="00297478">
        <w:rPr>
          <w:rFonts w:ascii="Arial" w:eastAsia="Times New Roman" w:hAnsi="Arial" w:cs="Arial"/>
          <w:color w:val="006699"/>
          <w:sz w:val="18"/>
          <w:szCs w:val="18"/>
          <w:lang w:val="en-US" w:eastAsia="fr-FR"/>
        </w:rPr>
        <w:t>54</w:t>
      </w:r>
      <w:bookmarkEnd w:id="54"/>
      <w:r w:rsidRPr="00297478">
        <w:rPr>
          <w:rFonts w:ascii="Arial" w:eastAsia="Times New Roman" w:hAnsi="Arial" w:cs="Arial"/>
          <w:color w:val="000000"/>
          <w:sz w:val="18"/>
          <w:szCs w:val="18"/>
          <w:lang w:val="en-US" w:eastAsia="fr-FR"/>
        </w:rPr>
        <w:t>      In view of the foregoing, the first ground of appeal must be rejected as being unfounded.</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Second ground of appeal: non-applicability of the principle of energy solidarity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Arguments of the parties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5" w:name="point55"/>
      <w:proofErr w:type="gramStart"/>
      <w:r w:rsidRPr="00297478">
        <w:rPr>
          <w:rFonts w:ascii="Arial" w:eastAsia="Times New Roman" w:hAnsi="Arial" w:cs="Arial"/>
          <w:color w:val="006699"/>
          <w:sz w:val="18"/>
          <w:szCs w:val="18"/>
          <w:lang w:val="en-US" w:eastAsia="fr-FR"/>
        </w:rPr>
        <w:t>55</w:t>
      </w:r>
      <w:bookmarkEnd w:id="55"/>
      <w:r w:rsidRPr="00297478">
        <w:rPr>
          <w:rFonts w:ascii="Arial" w:eastAsia="Times New Roman" w:hAnsi="Arial" w:cs="Arial"/>
          <w:color w:val="000000"/>
          <w:sz w:val="18"/>
          <w:szCs w:val="18"/>
          <w:lang w:val="en-US" w:eastAsia="fr-FR"/>
        </w:rPr>
        <w:t>      By its second ground of appeal, the Federal Republic of Germany submits that, in paragraph 72 of the judgment under appeal, the General Court erred in law by finding that the principle of solidarity entails a general obligation, for the European Union and the Member States, in the exercise of their respective competences, to take into account all the interests liable to be affected.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6" w:name="point56"/>
      <w:r w:rsidRPr="00297478">
        <w:rPr>
          <w:rFonts w:ascii="Arial" w:eastAsia="Times New Roman" w:hAnsi="Arial" w:cs="Arial"/>
          <w:color w:val="006699"/>
          <w:sz w:val="18"/>
          <w:szCs w:val="18"/>
          <w:lang w:val="en-US" w:eastAsia="fr-FR"/>
        </w:rPr>
        <w:t>56</w:t>
      </w:r>
      <w:bookmarkEnd w:id="56"/>
      <w:r w:rsidRPr="00297478">
        <w:rPr>
          <w:rFonts w:ascii="Arial" w:eastAsia="Times New Roman" w:hAnsi="Arial" w:cs="Arial"/>
          <w:color w:val="000000"/>
          <w:sz w:val="18"/>
          <w:szCs w:val="18"/>
          <w:lang w:val="en-US" w:eastAsia="fr-FR"/>
        </w:rPr>
        <w:t xml:space="preserve">      According to the appellant, the General Court disregarded the fact that the principle of energy solidarity is an emergency mechanism, which must be used only in exceptional cases and which implies, in such cases, an obligation of unconditional assistance, meaning ‘unconditional loyalty’. </w:t>
      </w:r>
      <w:proofErr w:type="gramStart"/>
      <w:r w:rsidRPr="00297478">
        <w:rPr>
          <w:rFonts w:ascii="Arial" w:eastAsia="Times New Roman" w:hAnsi="Arial" w:cs="Arial"/>
          <w:color w:val="000000"/>
          <w:sz w:val="18"/>
          <w:szCs w:val="18"/>
          <w:lang w:val="en-US" w:eastAsia="fr-FR"/>
        </w:rPr>
        <w:t>Taking that principle into account</w:t>
      </w:r>
      <w:proofErr w:type="gramEnd"/>
      <w:r w:rsidRPr="00297478">
        <w:rPr>
          <w:rFonts w:ascii="Arial" w:eastAsia="Times New Roman" w:hAnsi="Arial" w:cs="Arial"/>
          <w:color w:val="000000"/>
          <w:sz w:val="18"/>
          <w:szCs w:val="18"/>
          <w:lang w:val="en-US" w:eastAsia="fr-FR"/>
        </w:rPr>
        <w:t xml:space="preserve"> in anything other than exceptional cases would have the effect of impeding or preventing decision-making within the European Union, given that the various points of view and objectives could only rarely be reconciled. That is the case in this instance, since the interests of the Republic of Poland are different from those of the Federal Republic of Germany in the context of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7" w:name="point57"/>
      <w:proofErr w:type="gramStart"/>
      <w:r w:rsidRPr="00297478">
        <w:rPr>
          <w:rFonts w:ascii="Arial" w:eastAsia="Times New Roman" w:hAnsi="Arial" w:cs="Arial"/>
          <w:color w:val="006699"/>
          <w:sz w:val="18"/>
          <w:szCs w:val="18"/>
          <w:lang w:val="en-US" w:eastAsia="fr-FR"/>
        </w:rPr>
        <w:t>57</w:t>
      </w:r>
      <w:bookmarkEnd w:id="57"/>
      <w:proofErr w:type="gramEnd"/>
      <w:r w:rsidRPr="00297478">
        <w:rPr>
          <w:rFonts w:ascii="Arial" w:eastAsia="Times New Roman" w:hAnsi="Arial" w:cs="Arial"/>
          <w:color w:val="000000"/>
          <w:sz w:val="18"/>
          <w:szCs w:val="18"/>
          <w:lang w:val="en-US" w:eastAsia="fr-FR"/>
        </w:rPr>
        <w:t xml:space="preserve">      In the appellant’s submission, that principle therefore merely means a duty to assist in the event of a disaster or crisis. That </w:t>
      </w:r>
      <w:proofErr w:type="gramStart"/>
      <w:r w:rsidRPr="00297478">
        <w:rPr>
          <w:rFonts w:ascii="Arial" w:eastAsia="Times New Roman" w:hAnsi="Arial" w:cs="Arial"/>
          <w:color w:val="000000"/>
          <w:sz w:val="18"/>
          <w:szCs w:val="18"/>
          <w:lang w:val="en-US" w:eastAsia="fr-FR"/>
        </w:rPr>
        <w:t>interpretation is confirmed by Article 3(3) TEU</w:t>
      </w:r>
      <w:proofErr w:type="gramEnd"/>
      <w:r w:rsidRPr="00297478">
        <w:rPr>
          <w:rFonts w:ascii="Arial" w:eastAsia="Times New Roman" w:hAnsi="Arial" w:cs="Arial"/>
          <w:color w:val="000000"/>
          <w:sz w:val="18"/>
          <w:szCs w:val="18"/>
          <w:lang w:val="en-US" w:eastAsia="fr-FR"/>
        </w:rPr>
        <w:t xml:space="preserve"> read in conjunction with Article 222 TFEU.</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8" w:name="point58"/>
      <w:proofErr w:type="gramStart"/>
      <w:r w:rsidRPr="00297478">
        <w:rPr>
          <w:rFonts w:ascii="Arial" w:eastAsia="Times New Roman" w:hAnsi="Arial" w:cs="Arial"/>
          <w:color w:val="006699"/>
          <w:sz w:val="18"/>
          <w:szCs w:val="18"/>
          <w:lang w:val="en-US" w:eastAsia="fr-FR"/>
        </w:rPr>
        <w:t>58</w:t>
      </w:r>
      <w:bookmarkEnd w:id="58"/>
      <w:r w:rsidRPr="00297478">
        <w:rPr>
          <w:rFonts w:ascii="Arial" w:eastAsia="Times New Roman" w:hAnsi="Arial" w:cs="Arial"/>
          <w:color w:val="000000"/>
          <w:sz w:val="18"/>
          <w:szCs w:val="18"/>
          <w:lang w:val="en-US" w:eastAsia="fr-FR"/>
        </w:rPr>
        <w:t>      Even though Regulation (EU) 2017/1938 of the European Parliament and of the Council of 25 October 2017 concerning measures to safeguard the security of gas supply and repealing Regulation (EU) No 994/2010 (OJ 2017 L 280, p. 1) was not applicable at the time when the decision at issue was adopted, Article 13 thereof shows that the duty to assist that flows from the principle of energy solidarity is to be invoked only as a last resort, in a full emergency.</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59" w:name="point59"/>
      <w:r w:rsidRPr="00297478">
        <w:rPr>
          <w:rFonts w:ascii="Arial" w:eastAsia="Times New Roman" w:hAnsi="Arial" w:cs="Arial"/>
          <w:color w:val="006699"/>
          <w:sz w:val="18"/>
          <w:szCs w:val="18"/>
          <w:lang w:val="en-US" w:eastAsia="fr-FR"/>
        </w:rPr>
        <w:lastRenderedPageBreak/>
        <w:t>59</w:t>
      </w:r>
      <w:bookmarkEnd w:id="59"/>
      <w:r w:rsidRPr="00297478">
        <w:rPr>
          <w:rFonts w:ascii="Arial" w:eastAsia="Times New Roman" w:hAnsi="Arial" w:cs="Arial"/>
          <w:color w:val="000000"/>
          <w:sz w:val="18"/>
          <w:szCs w:val="18"/>
          <w:lang w:val="en-US" w:eastAsia="fr-FR"/>
        </w:rPr>
        <w:t xml:space="preserve">      According to the Federal Republic of Germany, since the decision at issue </w:t>
      </w:r>
      <w:proofErr w:type="gramStart"/>
      <w:r w:rsidRPr="00297478">
        <w:rPr>
          <w:rFonts w:ascii="Arial" w:eastAsia="Times New Roman" w:hAnsi="Arial" w:cs="Arial"/>
          <w:color w:val="000000"/>
          <w:sz w:val="18"/>
          <w:szCs w:val="18"/>
          <w:lang w:val="en-US" w:eastAsia="fr-FR"/>
        </w:rPr>
        <w:t>was not adopted</w:t>
      </w:r>
      <w:proofErr w:type="gramEnd"/>
      <w:r w:rsidRPr="00297478">
        <w:rPr>
          <w:rFonts w:ascii="Arial" w:eastAsia="Times New Roman" w:hAnsi="Arial" w:cs="Arial"/>
          <w:color w:val="000000"/>
          <w:sz w:val="18"/>
          <w:szCs w:val="18"/>
          <w:lang w:val="en-US" w:eastAsia="fr-FR"/>
        </w:rPr>
        <w:t xml:space="preserve"> in such an emergency, the Commission was not required to take the principle of energy solidarity into account in that decision. It concludes from this that the judgment under appeal must be set aside in so far as it is based solely on the alleged lack of any reference to that principle in the decision at issue.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0" w:name="point60"/>
      <w:r w:rsidRPr="00297478">
        <w:rPr>
          <w:rFonts w:ascii="Arial" w:eastAsia="Times New Roman" w:hAnsi="Arial" w:cs="Arial"/>
          <w:color w:val="006699"/>
          <w:sz w:val="18"/>
          <w:szCs w:val="18"/>
          <w:lang w:val="en-US" w:eastAsia="fr-FR"/>
        </w:rPr>
        <w:t>60</w:t>
      </w:r>
      <w:bookmarkEnd w:id="60"/>
      <w:r w:rsidRPr="00297478">
        <w:rPr>
          <w:rFonts w:ascii="Arial" w:eastAsia="Times New Roman" w:hAnsi="Arial" w:cs="Arial"/>
          <w:color w:val="000000"/>
          <w:sz w:val="18"/>
          <w:szCs w:val="18"/>
          <w:lang w:val="en-US" w:eastAsia="fr-FR"/>
        </w:rPr>
        <w:t>      The Republic of Poland, supported by the Republic of Latvia and the Republic of Lithuania, contends that the second ground of appeal is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1" w:name="point61"/>
      <w:r w:rsidRPr="00297478">
        <w:rPr>
          <w:rFonts w:ascii="Arial" w:eastAsia="Times New Roman" w:hAnsi="Arial" w:cs="Arial"/>
          <w:color w:val="006699"/>
          <w:sz w:val="18"/>
          <w:szCs w:val="18"/>
          <w:lang w:val="en-US" w:eastAsia="fr-FR"/>
        </w:rPr>
        <w:t>61</w:t>
      </w:r>
      <w:bookmarkEnd w:id="61"/>
      <w:r w:rsidRPr="00297478">
        <w:rPr>
          <w:rFonts w:ascii="Arial" w:eastAsia="Times New Roman" w:hAnsi="Arial" w:cs="Arial"/>
          <w:color w:val="000000"/>
          <w:sz w:val="18"/>
          <w:szCs w:val="18"/>
          <w:lang w:val="en-US" w:eastAsia="fr-FR"/>
        </w:rPr>
        <w:t>      In particular, the Republic of Poland counters that Article 194(1) TFEU requires account to be taken of the principle of solidarity among Member States in the context of any action falling within the European Union policy on energy, and that that obligation is not limited to action in times of crisis. In its view, it is preferable to prevent crises from occurring rather than to remedy them.</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2" w:name="point62"/>
      <w:proofErr w:type="gramStart"/>
      <w:r w:rsidRPr="00297478">
        <w:rPr>
          <w:rFonts w:ascii="Arial" w:eastAsia="Times New Roman" w:hAnsi="Arial" w:cs="Arial"/>
          <w:color w:val="006699"/>
          <w:sz w:val="18"/>
          <w:szCs w:val="18"/>
          <w:lang w:val="en-US" w:eastAsia="fr-FR"/>
        </w:rPr>
        <w:t>62</w:t>
      </w:r>
      <w:bookmarkEnd w:id="62"/>
      <w:r w:rsidRPr="00297478">
        <w:rPr>
          <w:rFonts w:ascii="Arial" w:eastAsia="Times New Roman" w:hAnsi="Arial" w:cs="Arial"/>
          <w:color w:val="000000"/>
          <w:sz w:val="18"/>
          <w:szCs w:val="18"/>
          <w:lang w:val="en-US" w:eastAsia="fr-FR"/>
        </w:rPr>
        <w:t>      In addition, the analogy drawn by the Federal Republic of Germany between Article 194 TFEU and Article 222 TFEU is not correct in so far as the special emergency mechanisms, such as those provided for in Articles 122 and 222 TFEU, are of a nature and have objectives that are distinct from those of the principle of energy solidarity provided for in Article 194 TFEU.</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3" w:name="point63"/>
      <w:r w:rsidRPr="00297478">
        <w:rPr>
          <w:rFonts w:ascii="Arial" w:eastAsia="Times New Roman" w:hAnsi="Arial" w:cs="Arial"/>
          <w:color w:val="006699"/>
          <w:sz w:val="18"/>
          <w:szCs w:val="18"/>
          <w:lang w:val="en-US" w:eastAsia="fr-FR"/>
        </w:rPr>
        <w:t>63</w:t>
      </w:r>
      <w:bookmarkEnd w:id="63"/>
      <w:r w:rsidRPr="00297478">
        <w:rPr>
          <w:rFonts w:ascii="Arial" w:eastAsia="Times New Roman" w:hAnsi="Arial" w:cs="Arial"/>
          <w:color w:val="000000"/>
          <w:sz w:val="18"/>
          <w:szCs w:val="18"/>
          <w:lang w:val="en-US" w:eastAsia="fr-FR"/>
        </w:rPr>
        <w:t xml:space="preserve">      As to the argument of the Federal Republic of Germany that the mechanisms of Regulation 2017/1938 show that the duty to assist is to </w:t>
      </w:r>
      <w:proofErr w:type="gramStart"/>
      <w:r w:rsidRPr="00297478">
        <w:rPr>
          <w:rFonts w:ascii="Arial" w:eastAsia="Times New Roman" w:hAnsi="Arial" w:cs="Arial"/>
          <w:color w:val="000000"/>
          <w:sz w:val="18"/>
          <w:szCs w:val="18"/>
          <w:lang w:val="en-US" w:eastAsia="fr-FR"/>
        </w:rPr>
        <w:t>be applied</w:t>
      </w:r>
      <w:proofErr w:type="gramEnd"/>
      <w:r w:rsidRPr="00297478">
        <w:rPr>
          <w:rFonts w:ascii="Arial" w:eastAsia="Times New Roman" w:hAnsi="Arial" w:cs="Arial"/>
          <w:color w:val="000000"/>
          <w:sz w:val="18"/>
          <w:szCs w:val="18"/>
          <w:lang w:val="en-US" w:eastAsia="fr-FR"/>
        </w:rPr>
        <w:t xml:space="preserve"> only as a last resort, this also is incorrect. In fact, that regulation provides for preventive measures and for emergency mechanisms applicable in </w:t>
      </w:r>
      <w:proofErr w:type="gramStart"/>
      <w:r w:rsidRPr="00297478">
        <w:rPr>
          <w:rFonts w:ascii="Arial" w:eastAsia="Times New Roman" w:hAnsi="Arial" w:cs="Arial"/>
          <w:color w:val="000000"/>
          <w:sz w:val="18"/>
          <w:szCs w:val="18"/>
          <w:lang w:val="en-US" w:eastAsia="fr-FR"/>
        </w:rPr>
        <w:t>crisis situations</w:t>
      </w:r>
      <w:proofErr w:type="gramEnd"/>
      <w:r w:rsidRPr="00297478">
        <w:rPr>
          <w:rFonts w:ascii="Arial" w:eastAsia="Times New Roman" w:hAnsi="Arial" w:cs="Arial"/>
          <w:color w:val="000000"/>
          <w:sz w:val="18"/>
          <w:szCs w:val="18"/>
          <w:lang w:val="en-US" w:eastAsia="fr-FR"/>
        </w:rPr>
        <w:t xml:space="preserve">. In the present case, the Republic of Poland submits that there are genuine risks to the security of energy supply in Poland and the States of the central and eastern areas of Europe if the decision at issue were to </w:t>
      </w:r>
      <w:proofErr w:type="gramStart"/>
      <w:r w:rsidRPr="00297478">
        <w:rPr>
          <w:rFonts w:ascii="Arial" w:eastAsia="Times New Roman" w:hAnsi="Arial" w:cs="Arial"/>
          <w:color w:val="000000"/>
          <w:sz w:val="18"/>
          <w:szCs w:val="18"/>
          <w:lang w:val="en-US" w:eastAsia="fr-FR"/>
        </w:rPr>
        <w:t>be applied</w:t>
      </w:r>
      <w:proofErr w:type="gramEnd"/>
      <w:r w:rsidRPr="00297478">
        <w:rPr>
          <w:rFonts w:ascii="Arial" w:eastAsia="Times New Roman" w:hAnsi="Arial" w:cs="Arial"/>
          <w:color w:val="000000"/>
          <w:sz w:val="18"/>
          <w:szCs w:val="18"/>
          <w:lang w:val="en-US" w:eastAsia="fr-FR"/>
        </w:rPr>
        <w:t>, owing to the dominant position of Gazprom on the market for the supply of gas.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4" w:name="point64"/>
      <w:r w:rsidRPr="00297478">
        <w:rPr>
          <w:rFonts w:ascii="Arial" w:eastAsia="Times New Roman" w:hAnsi="Arial" w:cs="Arial"/>
          <w:color w:val="006699"/>
          <w:sz w:val="18"/>
          <w:szCs w:val="18"/>
          <w:lang w:val="en-US" w:eastAsia="fr-FR"/>
        </w:rPr>
        <w:t>64</w:t>
      </w:r>
      <w:bookmarkEnd w:id="64"/>
      <w:r w:rsidRPr="00297478">
        <w:rPr>
          <w:rFonts w:ascii="Arial" w:eastAsia="Times New Roman" w:hAnsi="Arial" w:cs="Arial"/>
          <w:color w:val="000000"/>
          <w:sz w:val="18"/>
          <w:szCs w:val="18"/>
          <w:lang w:val="en-US" w:eastAsia="fr-FR"/>
        </w:rPr>
        <w:t xml:space="preserve">      The Republic of Latvia argues that the principle of energy solidarity does not apply only in order to deal with exceptional cases when they arise, but that it also implies the adoption of preventive measures. That principle cannot be interpreted as requiring ‘unconditional loyalty’ but should be understood to mean that the decision-making process is to take into account the particular characteristics of neighbouring States and of the region and respects the common objectives of the European Union in the field of energy. Thus, the Commission was required to assess, in the decision at issue, whether the amendments proposed by the German regulatory authority could affect the energy interests of the Member States liable to </w:t>
      </w:r>
      <w:proofErr w:type="gramStart"/>
      <w:r w:rsidRPr="00297478">
        <w:rPr>
          <w:rFonts w:ascii="Arial" w:eastAsia="Times New Roman" w:hAnsi="Arial" w:cs="Arial"/>
          <w:color w:val="000000"/>
          <w:sz w:val="18"/>
          <w:szCs w:val="18"/>
          <w:lang w:val="en-US" w:eastAsia="fr-FR"/>
        </w:rPr>
        <w:t>be affected</w:t>
      </w:r>
      <w:proofErr w:type="gramEnd"/>
      <w:r w:rsidRPr="00297478">
        <w:rPr>
          <w:rFonts w:ascii="Arial" w:eastAsia="Times New Roman" w:hAnsi="Arial" w:cs="Arial"/>
          <w:color w:val="000000"/>
          <w:sz w:val="18"/>
          <w:szCs w:val="18"/>
          <w:lang w:val="en-US" w:eastAsia="fr-FR"/>
        </w:rPr>
        <w: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5" w:name="point65"/>
      <w:r w:rsidRPr="00297478">
        <w:rPr>
          <w:rFonts w:ascii="Arial" w:eastAsia="Times New Roman" w:hAnsi="Arial" w:cs="Arial"/>
          <w:color w:val="006699"/>
          <w:sz w:val="18"/>
          <w:szCs w:val="18"/>
          <w:lang w:val="en-US" w:eastAsia="fr-FR"/>
        </w:rPr>
        <w:t>65</w:t>
      </w:r>
      <w:bookmarkEnd w:id="65"/>
      <w:r w:rsidRPr="00297478">
        <w:rPr>
          <w:rFonts w:ascii="Arial" w:eastAsia="Times New Roman" w:hAnsi="Arial" w:cs="Arial"/>
          <w:color w:val="000000"/>
          <w:sz w:val="18"/>
          <w:szCs w:val="18"/>
          <w:lang w:val="en-US" w:eastAsia="fr-FR"/>
        </w:rPr>
        <w:t xml:space="preserve">      The Republic of Lithuania also challenges the argument of the Federal Republic of Germany, contending that it </w:t>
      </w:r>
      <w:proofErr w:type="gramStart"/>
      <w:r w:rsidRPr="00297478">
        <w:rPr>
          <w:rFonts w:ascii="Arial" w:eastAsia="Times New Roman" w:hAnsi="Arial" w:cs="Arial"/>
          <w:color w:val="000000"/>
          <w:sz w:val="18"/>
          <w:szCs w:val="18"/>
          <w:lang w:val="en-US" w:eastAsia="fr-FR"/>
        </w:rPr>
        <w:t>is based</w:t>
      </w:r>
      <w:proofErr w:type="gramEnd"/>
      <w:r w:rsidRPr="00297478">
        <w:rPr>
          <w:rFonts w:ascii="Arial" w:eastAsia="Times New Roman" w:hAnsi="Arial" w:cs="Arial"/>
          <w:color w:val="000000"/>
          <w:sz w:val="18"/>
          <w:szCs w:val="18"/>
          <w:lang w:val="en-US" w:eastAsia="fr-FR"/>
        </w:rPr>
        <w:t xml:space="preserve"> on too narrow an interpretation of the principle of energy solidarity, which is not consistent either with the text of Article 194 TFEU or with the rights and obligations that flow from that provision.</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6" w:name="point66"/>
      <w:r w:rsidRPr="00297478">
        <w:rPr>
          <w:rFonts w:ascii="Arial" w:eastAsia="Times New Roman" w:hAnsi="Arial" w:cs="Arial"/>
          <w:color w:val="006699"/>
          <w:sz w:val="18"/>
          <w:szCs w:val="18"/>
          <w:lang w:val="en-US" w:eastAsia="fr-FR"/>
        </w:rPr>
        <w:t>66</w:t>
      </w:r>
      <w:bookmarkEnd w:id="66"/>
      <w:r w:rsidRPr="00297478">
        <w:rPr>
          <w:rFonts w:ascii="Arial" w:eastAsia="Times New Roman" w:hAnsi="Arial" w:cs="Arial"/>
          <w:color w:val="000000"/>
          <w:sz w:val="18"/>
          <w:szCs w:val="18"/>
          <w:lang w:val="en-US" w:eastAsia="fr-FR"/>
        </w:rPr>
        <w:t>      The Commission did not comment on the second ground of appeal.</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Findings of the Court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7" w:name="point67"/>
      <w:r w:rsidRPr="00297478">
        <w:rPr>
          <w:rFonts w:ascii="Arial" w:eastAsia="Times New Roman" w:hAnsi="Arial" w:cs="Arial"/>
          <w:color w:val="006699"/>
          <w:sz w:val="18"/>
          <w:szCs w:val="18"/>
          <w:lang w:val="en-US" w:eastAsia="fr-FR"/>
        </w:rPr>
        <w:t>67</w:t>
      </w:r>
      <w:bookmarkEnd w:id="67"/>
      <w:r w:rsidRPr="00297478">
        <w:rPr>
          <w:rFonts w:ascii="Arial" w:eastAsia="Times New Roman" w:hAnsi="Arial" w:cs="Arial"/>
          <w:color w:val="000000"/>
          <w:sz w:val="18"/>
          <w:szCs w:val="18"/>
          <w:lang w:val="en-US" w:eastAsia="fr-FR"/>
        </w:rPr>
        <w:t xml:space="preserve">      It </w:t>
      </w:r>
      <w:proofErr w:type="gramStart"/>
      <w:r w:rsidRPr="00297478">
        <w:rPr>
          <w:rFonts w:ascii="Arial" w:eastAsia="Times New Roman" w:hAnsi="Arial" w:cs="Arial"/>
          <w:color w:val="000000"/>
          <w:sz w:val="18"/>
          <w:szCs w:val="18"/>
          <w:lang w:val="en-US" w:eastAsia="fr-FR"/>
        </w:rPr>
        <w:t>must be noted</w:t>
      </w:r>
      <w:proofErr w:type="gramEnd"/>
      <w:r w:rsidRPr="00297478">
        <w:rPr>
          <w:rFonts w:ascii="Arial" w:eastAsia="Times New Roman" w:hAnsi="Arial" w:cs="Arial"/>
          <w:color w:val="000000"/>
          <w:sz w:val="18"/>
          <w:szCs w:val="18"/>
          <w:lang w:val="en-US" w:eastAsia="fr-FR"/>
        </w:rPr>
        <w:t xml:space="preserve"> that the wording of Article 194 TFEU does not give any indication that, in the field of EU energy policy, the principle of energy solidarity should be limited to the situations referred to in Article 222 TFEU. On the contrary, the spirit of solidarity mentioned in Article 194(1) TFEU must, for the reasons set out in paragraphs 41 to 44 of the present judgment, inform any action relating to EU policy in that field.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8" w:name="point68"/>
      <w:r w:rsidRPr="00297478">
        <w:rPr>
          <w:rFonts w:ascii="Arial" w:eastAsia="Times New Roman" w:hAnsi="Arial" w:cs="Arial"/>
          <w:color w:val="006699"/>
          <w:sz w:val="18"/>
          <w:szCs w:val="18"/>
          <w:lang w:val="en-US" w:eastAsia="fr-FR"/>
        </w:rPr>
        <w:t>68</w:t>
      </w:r>
      <w:bookmarkEnd w:id="68"/>
      <w:r w:rsidRPr="00297478">
        <w:rPr>
          <w:rFonts w:ascii="Arial" w:eastAsia="Times New Roman" w:hAnsi="Arial" w:cs="Arial"/>
          <w:color w:val="000000"/>
          <w:sz w:val="18"/>
          <w:szCs w:val="18"/>
          <w:lang w:val="en-US" w:eastAsia="fr-FR"/>
        </w:rPr>
        <w:t>      That finding cannot be called in question by Article 222 TFEU, which introduces a solidarity clause under which the European Union and its Member States are to act jointly in a spirit of solidarity if a Member State is the object of a terrorist attack or the victim of a natural or man-made disaster. As the Advocate General noted in essence in points 126 and 127 of his Opinion, Article 194(1) TFEU and Article 222 TFEU cover different situations and have different objectives.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69" w:name="point69"/>
      <w:proofErr w:type="gramStart"/>
      <w:r w:rsidRPr="00297478">
        <w:rPr>
          <w:rFonts w:ascii="Arial" w:eastAsia="Times New Roman" w:hAnsi="Arial" w:cs="Arial"/>
          <w:color w:val="006699"/>
          <w:sz w:val="18"/>
          <w:szCs w:val="18"/>
          <w:lang w:val="en-US" w:eastAsia="fr-FR"/>
        </w:rPr>
        <w:t>69</w:t>
      </w:r>
      <w:bookmarkEnd w:id="69"/>
      <w:r w:rsidRPr="00297478">
        <w:rPr>
          <w:rFonts w:ascii="Arial" w:eastAsia="Times New Roman" w:hAnsi="Arial" w:cs="Arial"/>
          <w:color w:val="000000"/>
          <w:sz w:val="18"/>
          <w:szCs w:val="18"/>
          <w:lang w:val="en-US" w:eastAsia="fr-FR"/>
        </w:rPr>
        <w:t>      Thus, the EU institutions and the Member States must take into account the principle of energy solidarity, referred to in Article 194 TFEU, in the context of the establishment and functioning of the internal market and, in particular, the internal market in natural gas, by ensuring security of energy supply in the European Union, which means not only dealing with emergencies when they arise, but also adopting measures to prevent crisis situations.</w:t>
      </w:r>
      <w:proofErr w:type="gramEnd"/>
      <w:r w:rsidRPr="00297478">
        <w:rPr>
          <w:rFonts w:ascii="Arial" w:eastAsia="Times New Roman" w:hAnsi="Arial" w:cs="Arial"/>
          <w:color w:val="000000"/>
          <w:sz w:val="18"/>
          <w:szCs w:val="18"/>
          <w:lang w:val="en-US" w:eastAsia="fr-FR"/>
        </w:rPr>
        <w:t xml:space="preserve"> To that end, it is necessary to assess whether there are risks for the energy interests of the Member States and the European Union, and in particular to security of energy supply, before going on to conduct the analysis to which reference </w:t>
      </w:r>
      <w:proofErr w:type="gramStart"/>
      <w:r w:rsidRPr="00297478">
        <w:rPr>
          <w:rFonts w:ascii="Arial" w:eastAsia="Times New Roman" w:hAnsi="Arial" w:cs="Arial"/>
          <w:color w:val="000000"/>
          <w:sz w:val="18"/>
          <w:szCs w:val="18"/>
          <w:lang w:val="en-US" w:eastAsia="fr-FR"/>
        </w:rPr>
        <w:t>is made</w:t>
      </w:r>
      <w:proofErr w:type="gramEnd"/>
      <w:r w:rsidRPr="00297478">
        <w:rPr>
          <w:rFonts w:ascii="Arial" w:eastAsia="Times New Roman" w:hAnsi="Arial" w:cs="Arial"/>
          <w:color w:val="000000"/>
          <w:sz w:val="18"/>
          <w:szCs w:val="18"/>
          <w:lang w:val="en-US" w:eastAsia="fr-FR"/>
        </w:rPr>
        <w:t xml:space="preserve"> in paragraph 53 of the present judgment.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0" w:name="point70"/>
      <w:proofErr w:type="gramStart"/>
      <w:r w:rsidRPr="00297478">
        <w:rPr>
          <w:rFonts w:ascii="Arial" w:eastAsia="Times New Roman" w:hAnsi="Arial" w:cs="Arial"/>
          <w:color w:val="006699"/>
          <w:sz w:val="18"/>
          <w:szCs w:val="18"/>
          <w:lang w:val="en-US" w:eastAsia="fr-FR"/>
        </w:rPr>
        <w:t>70</w:t>
      </w:r>
      <w:bookmarkEnd w:id="70"/>
      <w:r w:rsidRPr="00297478">
        <w:rPr>
          <w:rFonts w:ascii="Arial" w:eastAsia="Times New Roman" w:hAnsi="Arial" w:cs="Arial"/>
          <w:color w:val="000000"/>
          <w:sz w:val="18"/>
          <w:szCs w:val="18"/>
          <w:lang w:val="en-US" w:eastAsia="fr-FR"/>
        </w:rPr>
        <w:t xml:space="preserve">      Furthermore, as regards Regulation 2017/1938, on which the Federal Republic of Germany relied in support of its argument that the duty of assistance must be invoked only as a last resort, it should be noted that that regulation </w:t>
      </w:r>
      <w:r w:rsidRPr="00297478">
        <w:rPr>
          <w:rFonts w:ascii="Arial" w:eastAsia="Times New Roman" w:hAnsi="Arial" w:cs="Arial"/>
          <w:color w:val="000000"/>
          <w:sz w:val="18"/>
          <w:szCs w:val="18"/>
          <w:lang w:val="en-US" w:eastAsia="fr-FR"/>
        </w:rPr>
        <w:lastRenderedPageBreak/>
        <w:t>provides for two categories of measure: preventive measures, aimed at preventing possible crisis situations from occurring, and emergency measures, should a crisis situation arise.</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1" w:name="point71"/>
      <w:proofErr w:type="gramStart"/>
      <w:r w:rsidRPr="00297478">
        <w:rPr>
          <w:rFonts w:ascii="Arial" w:eastAsia="Times New Roman" w:hAnsi="Arial" w:cs="Arial"/>
          <w:color w:val="006699"/>
          <w:sz w:val="18"/>
          <w:szCs w:val="18"/>
          <w:lang w:val="en-US" w:eastAsia="fr-FR"/>
        </w:rPr>
        <w:t>71</w:t>
      </w:r>
      <w:bookmarkEnd w:id="71"/>
      <w:r w:rsidRPr="00297478">
        <w:rPr>
          <w:rFonts w:ascii="Arial" w:eastAsia="Times New Roman" w:hAnsi="Arial" w:cs="Arial"/>
          <w:color w:val="000000"/>
          <w:sz w:val="18"/>
          <w:szCs w:val="18"/>
          <w:lang w:val="en-US" w:eastAsia="fr-FR"/>
        </w:rPr>
        <w:t>      Thus, the General Court correctly held, in paragraphs 71 to 73 of the judgment under appeal, that the principle of energy solidarity entails a general obligation, for the European Union and the Member States, in the exercise of their respective competences in respect of EU energy policy, to take into account the interests of all stakeholders liable to be affected, by avoiding the adoption of measures that might affect their interests, as regards security of supply, its economic and political viability and the diversification of sources of supply, and to do so in order to take account of their interdependence and de facto solidarity.</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2" w:name="point72"/>
      <w:proofErr w:type="gramStart"/>
      <w:r w:rsidRPr="00297478">
        <w:rPr>
          <w:rFonts w:ascii="Arial" w:eastAsia="Times New Roman" w:hAnsi="Arial" w:cs="Arial"/>
          <w:color w:val="006699"/>
          <w:sz w:val="18"/>
          <w:szCs w:val="18"/>
          <w:lang w:val="en-US" w:eastAsia="fr-FR"/>
        </w:rPr>
        <w:t>72</w:t>
      </w:r>
      <w:bookmarkEnd w:id="72"/>
      <w:r w:rsidRPr="00297478">
        <w:rPr>
          <w:rFonts w:ascii="Arial" w:eastAsia="Times New Roman" w:hAnsi="Arial" w:cs="Arial"/>
          <w:color w:val="000000"/>
          <w:sz w:val="18"/>
          <w:szCs w:val="18"/>
          <w:lang w:val="en-US" w:eastAsia="fr-FR"/>
        </w:rPr>
        <w:t>      As regards the argument of the Federal Republic of Germany that if the principle of energy solidarity were applicable in non-crisis situations, the European Union and the Member States would be subject to a requirement of ‘unconditional loyalty’, which would impede any decision within the European Union, it must be pointed out that such an interpretation is based on a misreading of the judgment under appeal.</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3" w:name="point73"/>
      <w:r w:rsidRPr="00297478">
        <w:rPr>
          <w:rFonts w:ascii="Arial" w:eastAsia="Times New Roman" w:hAnsi="Arial" w:cs="Arial"/>
          <w:color w:val="006699"/>
          <w:sz w:val="18"/>
          <w:szCs w:val="18"/>
          <w:lang w:val="en-US" w:eastAsia="fr-FR"/>
        </w:rPr>
        <w:t>73</w:t>
      </w:r>
      <w:bookmarkEnd w:id="73"/>
      <w:r w:rsidRPr="00297478">
        <w:rPr>
          <w:rFonts w:ascii="Arial" w:eastAsia="Times New Roman" w:hAnsi="Arial" w:cs="Arial"/>
          <w:color w:val="000000"/>
          <w:sz w:val="18"/>
          <w:szCs w:val="18"/>
          <w:lang w:val="en-US" w:eastAsia="fr-FR"/>
        </w:rPr>
        <w:t xml:space="preserve">      In paragraph 77 of the judgment under appeal, to which the appeal makes no reference, the General Court correctly stated that the application of the principle of energy solidarity does not mean that EU energy policy must never, under any circumstances, have negative impacts for the particular interests of a Member State in that field. </w:t>
      </w:r>
      <w:proofErr w:type="gramStart"/>
      <w:r w:rsidRPr="00297478">
        <w:rPr>
          <w:rFonts w:ascii="Arial" w:eastAsia="Times New Roman" w:hAnsi="Arial" w:cs="Arial"/>
          <w:color w:val="000000"/>
          <w:sz w:val="18"/>
          <w:szCs w:val="18"/>
          <w:lang w:val="en-US" w:eastAsia="fr-FR"/>
        </w:rPr>
        <w:t>However, as has been pointed out in paragraphs 53 and 69 of the present judgment, the EU institutions and the Member States are required to take into account, in the context of the implementation of that policy, the interests both of the European Union and of the various Member States that are liable to be affected and to balance those interests where there is a conflict.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4" w:name="point74"/>
      <w:r w:rsidRPr="00297478">
        <w:rPr>
          <w:rFonts w:ascii="Arial" w:eastAsia="Times New Roman" w:hAnsi="Arial" w:cs="Arial"/>
          <w:color w:val="006699"/>
          <w:sz w:val="18"/>
          <w:szCs w:val="18"/>
          <w:lang w:val="en-US" w:eastAsia="fr-FR"/>
        </w:rPr>
        <w:t>74</w:t>
      </w:r>
      <w:bookmarkEnd w:id="74"/>
      <w:r w:rsidRPr="00297478">
        <w:rPr>
          <w:rFonts w:ascii="Arial" w:eastAsia="Times New Roman" w:hAnsi="Arial" w:cs="Arial"/>
          <w:color w:val="000000"/>
          <w:sz w:val="18"/>
          <w:szCs w:val="18"/>
          <w:lang w:val="en-US" w:eastAsia="fr-FR"/>
        </w:rPr>
        <w:t>      Consequently, the second ground of appeal must be rejected as being unfounded.</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Third ground of appeal: incorrect assessment as regards the account taken by the Commission of the principle of energy solidarity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Arguments of the parties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5" w:name="point75"/>
      <w:proofErr w:type="gramStart"/>
      <w:r w:rsidRPr="00297478">
        <w:rPr>
          <w:rFonts w:ascii="Arial" w:eastAsia="Times New Roman" w:hAnsi="Arial" w:cs="Arial"/>
          <w:color w:val="006699"/>
          <w:sz w:val="18"/>
          <w:szCs w:val="18"/>
          <w:lang w:val="en-US" w:eastAsia="fr-FR"/>
        </w:rPr>
        <w:t>75</w:t>
      </w:r>
      <w:bookmarkEnd w:id="75"/>
      <w:r w:rsidRPr="00297478">
        <w:rPr>
          <w:rFonts w:ascii="Arial" w:eastAsia="Times New Roman" w:hAnsi="Arial" w:cs="Arial"/>
          <w:color w:val="000000"/>
          <w:sz w:val="18"/>
          <w:szCs w:val="18"/>
          <w:lang w:val="en-US" w:eastAsia="fr-FR"/>
        </w:rPr>
        <w:t>      Should the Court accept the principle of energy solidarity as being a criterion applicable to the decision at issue, the Federal Republic of Germany submits, by its third ground of appeal, that the General Court disregarded (i) the fact that the Commission did take that principle into consideration when adopting that decision, and (ii) the fact that the Commission was not obliged to indicate in detail how it took that principle into account.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6" w:name="point76"/>
      <w:proofErr w:type="gramStart"/>
      <w:r w:rsidRPr="00297478">
        <w:rPr>
          <w:rFonts w:ascii="Arial" w:eastAsia="Times New Roman" w:hAnsi="Arial" w:cs="Arial"/>
          <w:color w:val="006699"/>
          <w:sz w:val="18"/>
          <w:szCs w:val="18"/>
          <w:lang w:val="en-US" w:eastAsia="fr-FR"/>
        </w:rPr>
        <w:t>76</w:t>
      </w:r>
      <w:bookmarkEnd w:id="76"/>
      <w:r w:rsidRPr="00297478">
        <w:rPr>
          <w:rFonts w:ascii="Arial" w:eastAsia="Times New Roman" w:hAnsi="Arial" w:cs="Arial"/>
          <w:color w:val="000000"/>
          <w:sz w:val="18"/>
          <w:szCs w:val="18"/>
          <w:lang w:val="en-US" w:eastAsia="fr-FR"/>
        </w:rPr>
        <w:t>      According to the Federal Republic of Germany, the General Court erred in law, in paragraph 81 of the judgment under appeal, by finding that the Commission had not examined the principle of energy solidarity in so far as it did not carry out an examination of the impact of the variation of the regime governing the operation of the OPAL pipeline on security of supply in the Polish gas market.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7" w:name="point77"/>
      <w:proofErr w:type="gramStart"/>
      <w:r w:rsidRPr="00297478">
        <w:rPr>
          <w:rFonts w:ascii="Arial" w:eastAsia="Times New Roman" w:hAnsi="Arial" w:cs="Arial"/>
          <w:color w:val="006699"/>
          <w:sz w:val="18"/>
          <w:szCs w:val="18"/>
          <w:lang w:val="en-US" w:eastAsia="fr-FR"/>
        </w:rPr>
        <w:t>77</w:t>
      </w:r>
      <w:bookmarkEnd w:id="77"/>
      <w:r w:rsidRPr="00297478">
        <w:rPr>
          <w:rFonts w:ascii="Arial" w:eastAsia="Times New Roman" w:hAnsi="Arial" w:cs="Arial"/>
          <w:color w:val="000000"/>
          <w:sz w:val="18"/>
          <w:szCs w:val="18"/>
          <w:lang w:val="en-US" w:eastAsia="fr-FR"/>
        </w:rPr>
        <w:t>      According to the appellant, that finding by the General Court is contradicted, first, by the process by which the decision at issue was adopted, including in particular the submission by the Republic of Poland of written comments before the adoption of that decision, as is apparent from paragraph 10 thereof; second, by the study carried out by a working group composed of representatives of the Ministry of Energy of the Russian Federation and the Commission, in relation to more efficient operation of the OPAL pipeline, as is apparent from paragraph 17 of the decision at issue; third, by the content of a Commission press release of 26 October 2016 concerning the consequences of that decision for the gas market in Europe, as is also apparent from paragraphs 80 to 88 of that decision; and, fourth, by the Commission’s verification of security of supply in the examination of exemption conditions under Article 36 of Directive 2009/73.</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8" w:name="point78"/>
      <w:proofErr w:type="gramStart"/>
      <w:r w:rsidRPr="00297478">
        <w:rPr>
          <w:rFonts w:ascii="Arial" w:eastAsia="Times New Roman" w:hAnsi="Arial" w:cs="Arial"/>
          <w:color w:val="006699"/>
          <w:sz w:val="18"/>
          <w:szCs w:val="18"/>
          <w:lang w:val="en-US" w:eastAsia="fr-FR"/>
        </w:rPr>
        <w:t>78</w:t>
      </w:r>
      <w:bookmarkEnd w:id="78"/>
      <w:r w:rsidRPr="00297478">
        <w:rPr>
          <w:rFonts w:ascii="Arial" w:eastAsia="Times New Roman" w:hAnsi="Arial" w:cs="Arial"/>
          <w:color w:val="000000"/>
          <w:sz w:val="18"/>
          <w:szCs w:val="18"/>
          <w:lang w:val="en-US" w:eastAsia="fr-FR"/>
        </w:rPr>
        <w:t>      Furthermore, there is a transit contract between the Republic of Poland and Gazprom for the transport of natural gas via the Polish section of the Yamal pipeline to supply the western European markets, including the Polish markets, until 2020, and a contract between the largest Polish energy supplier and Gazprom for deliveries of natural gas until the end of 2022.</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79" w:name="point79"/>
      <w:r w:rsidRPr="00297478">
        <w:rPr>
          <w:rFonts w:ascii="Arial" w:eastAsia="Times New Roman" w:hAnsi="Arial" w:cs="Arial"/>
          <w:color w:val="006699"/>
          <w:sz w:val="18"/>
          <w:szCs w:val="18"/>
          <w:lang w:val="en-US" w:eastAsia="fr-FR"/>
        </w:rPr>
        <w:t>79</w:t>
      </w:r>
      <w:bookmarkEnd w:id="79"/>
      <w:r w:rsidRPr="00297478">
        <w:rPr>
          <w:rFonts w:ascii="Arial" w:eastAsia="Times New Roman" w:hAnsi="Arial" w:cs="Arial"/>
          <w:color w:val="000000"/>
          <w:sz w:val="18"/>
          <w:szCs w:val="18"/>
          <w:lang w:val="en-US" w:eastAsia="fr-FR"/>
        </w:rPr>
        <w:t>      In addition, the Federal Republic of Germany claims that the Republic of Poland aims, according to the statements of that Polish energy supplier, to be independent of Russian gas by 2022/2023.</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0" w:name="point80"/>
      <w:r w:rsidRPr="00297478">
        <w:rPr>
          <w:rFonts w:ascii="Arial" w:eastAsia="Times New Roman" w:hAnsi="Arial" w:cs="Arial"/>
          <w:color w:val="006699"/>
          <w:sz w:val="18"/>
          <w:szCs w:val="18"/>
          <w:lang w:val="en-US" w:eastAsia="fr-FR"/>
        </w:rPr>
        <w:t>80</w:t>
      </w:r>
      <w:bookmarkEnd w:id="80"/>
      <w:r w:rsidRPr="00297478">
        <w:rPr>
          <w:rFonts w:ascii="Arial" w:eastAsia="Times New Roman" w:hAnsi="Arial" w:cs="Arial"/>
          <w:color w:val="000000"/>
          <w:sz w:val="18"/>
          <w:szCs w:val="18"/>
          <w:lang w:val="en-US" w:eastAsia="fr-FR"/>
        </w:rPr>
        <w:t>      The Federal Republic of Germany also maintains that the decision at issue puts the Republic of Poland in a better position as compared with its position under Decision C(2009) 4694, against which the Republic of Poland could have brought an action. Moreover, the OPAL pipeline contributes to the completion of the internal market in natural gas, bringing benefits for cross-border trade and security of supply.</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1" w:name="point81"/>
      <w:r w:rsidRPr="00297478">
        <w:rPr>
          <w:rFonts w:ascii="Arial" w:eastAsia="Times New Roman" w:hAnsi="Arial" w:cs="Arial"/>
          <w:color w:val="006699"/>
          <w:sz w:val="18"/>
          <w:szCs w:val="18"/>
          <w:lang w:val="en-US" w:eastAsia="fr-FR"/>
        </w:rPr>
        <w:lastRenderedPageBreak/>
        <w:t>81</w:t>
      </w:r>
      <w:bookmarkEnd w:id="81"/>
      <w:r w:rsidRPr="00297478">
        <w:rPr>
          <w:rFonts w:ascii="Arial" w:eastAsia="Times New Roman" w:hAnsi="Arial" w:cs="Arial"/>
          <w:color w:val="000000"/>
          <w:sz w:val="18"/>
          <w:szCs w:val="18"/>
          <w:lang w:val="en-US" w:eastAsia="fr-FR"/>
        </w:rPr>
        <w:t>      The Republic of Poland contends that the third ground of appeal is inadmissible in that it seeks to call in question findings of fact.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2" w:name="point82"/>
      <w:r w:rsidRPr="00297478">
        <w:rPr>
          <w:rFonts w:ascii="Arial" w:eastAsia="Times New Roman" w:hAnsi="Arial" w:cs="Arial"/>
          <w:color w:val="006699"/>
          <w:sz w:val="18"/>
          <w:szCs w:val="18"/>
          <w:lang w:val="en-US" w:eastAsia="fr-FR"/>
        </w:rPr>
        <w:t>82</w:t>
      </w:r>
      <w:bookmarkEnd w:id="82"/>
      <w:r w:rsidRPr="00297478">
        <w:rPr>
          <w:rFonts w:ascii="Arial" w:eastAsia="Times New Roman" w:hAnsi="Arial" w:cs="Arial"/>
          <w:color w:val="000000"/>
          <w:sz w:val="18"/>
          <w:szCs w:val="18"/>
          <w:lang w:val="en-US" w:eastAsia="fr-FR"/>
        </w:rPr>
        <w:t>      As to the substance, the Republic of Poland, supported by the Republic of Latvia and the Republic of Lithuania, contends that this ground of appeal is unfounded.</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Findings of the Court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3" w:name="point83"/>
      <w:proofErr w:type="gramStart"/>
      <w:r w:rsidRPr="00297478">
        <w:rPr>
          <w:rFonts w:ascii="Arial" w:eastAsia="Times New Roman" w:hAnsi="Arial" w:cs="Arial"/>
          <w:color w:val="006699"/>
          <w:sz w:val="18"/>
          <w:szCs w:val="18"/>
          <w:lang w:val="en-US" w:eastAsia="fr-FR"/>
        </w:rPr>
        <w:t>83</w:t>
      </w:r>
      <w:bookmarkEnd w:id="83"/>
      <w:r w:rsidRPr="00297478">
        <w:rPr>
          <w:rFonts w:ascii="Arial" w:eastAsia="Times New Roman" w:hAnsi="Arial" w:cs="Arial"/>
          <w:color w:val="000000"/>
          <w:sz w:val="18"/>
          <w:szCs w:val="18"/>
          <w:lang w:val="en-US" w:eastAsia="fr-FR"/>
        </w:rPr>
        <w:t>      By its third ground of appeal, the appellant submits that, in the decision at issue and during the process of its adoption, the Commission examined the principle of energy solidarity in the context of the variation of the regime governing the operation of the OPAL pipeline, envisaged by the decision at issue, and the consequences of that decision for the Polish gas market.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4" w:name="point84"/>
      <w:proofErr w:type="gramStart"/>
      <w:r w:rsidRPr="00297478">
        <w:rPr>
          <w:rFonts w:ascii="Arial" w:eastAsia="Times New Roman" w:hAnsi="Arial" w:cs="Arial"/>
          <w:color w:val="006699"/>
          <w:sz w:val="18"/>
          <w:szCs w:val="18"/>
          <w:lang w:val="en-US" w:eastAsia="fr-FR"/>
        </w:rPr>
        <w:t>84</w:t>
      </w:r>
      <w:bookmarkEnd w:id="84"/>
      <w:r w:rsidRPr="00297478">
        <w:rPr>
          <w:rFonts w:ascii="Arial" w:eastAsia="Times New Roman" w:hAnsi="Arial" w:cs="Arial"/>
          <w:color w:val="000000"/>
          <w:sz w:val="18"/>
          <w:szCs w:val="18"/>
          <w:lang w:val="en-US" w:eastAsia="fr-FR"/>
        </w:rPr>
        <w:t>      At the hearing before the Court, the Commission did not contest the General Court’s assessment in respect of the decision at issue, while maintaining that, in its view, it was not required to assess the risks to the interests of the Member States liable to be affected or, therefore, to balance those interests, because it had verified, overall, whether the decision at issue represented a threat for alternative pipelines and found that that was not the case.</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5" w:name="point85"/>
      <w:proofErr w:type="gramStart"/>
      <w:r w:rsidRPr="00297478">
        <w:rPr>
          <w:rFonts w:ascii="Arial" w:eastAsia="Times New Roman" w:hAnsi="Arial" w:cs="Arial"/>
          <w:color w:val="006699"/>
          <w:sz w:val="18"/>
          <w:szCs w:val="18"/>
          <w:lang w:val="en-US" w:eastAsia="fr-FR"/>
        </w:rPr>
        <w:t>85</w:t>
      </w:r>
      <w:bookmarkEnd w:id="85"/>
      <w:r w:rsidRPr="00297478">
        <w:rPr>
          <w:rFonts w:ascii="Arial" w:eastAsia="Times New Roman" w:hAnsi="Arial" w:cs="Arial"/>
          <w:color w:val="000000"/>
          <w:sz w:val="18"/>
          <w:szCs w:val="18"/>
          <w:lang w:val="en-US" w:eastAsia="fr-FR"/>
        </w:rPr>
        <w:t>      In that regard, it is apparent from the second subparagraph of Article 256(1) TFEU and the first paragraph of Article 58 of the Statute of the Court of Justice of the European Union that an appeal is to be limited to points of law only and the appraisal of the facts by the General Court does not, save where they are distorted, constitute a point of law which is subject, as such, to review by the Court of Justice on appeal.</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6" w:name="point86"/>
      <w:r w:rsidRPr="00297478">
        <w:rPr>
          <w:rFonts w:ascii="Arial" w:eastAsia="Times New Roman" w:hAnsi="Arial" w:cs="Arial"/>
          <w:color w:val="006699"/>
          <w:sz w:val="18"/>
          <w:szCs w:val="18"/>
          <w:lang w:val="en-US" w:eastAsia="fr-FR"/>
        </w:rPr>
        <w:t>86</w:t>
      </w:r>
      <w:bookmarkEnd w:id="86"/>
      <w:r w:rsidRPr="00297478">
        <w:rPr>
          <w:rFonts w:ascii="Arial" w:eastAsia="Times New Roman" w:hAnsi="Arial" w:cs="Arial"/>
          <w:color w:val="000000"/>
          <w:sz w:val="18"/>
          <w:szCs w:val="18"/>
          <w:lang w:val="en-US" w:eastAsia="fr-FR"/>
        </w:rPr>
        <w:t xml:space="preserve">      However, it </w:t>
      </w:r>
      <w:proofErr w:type="gramStart"/>
      <w:r w:rsidRPr="00297478">
        <w:rPr>
          <w:rFonts w:ascii="Arial" w:eastAsia="Times New Roman" w:hAnsi="Arial" w:cs="Arial"/>
          <w:color w:val="000000"/>
          <w:sz w:val="18"/>
          <w:szCs w:val="18"/>
          <w:lang w:val="en-US" w:eastAsia="fr-FR"/>
        </w:rPr>
        <w:t>must be noted</w:t>
      </w:r>
      <w:proofErr w:type="gramEnd"/>
      <w:r w:rsidRPr="00297478">
        <w:rPr>
          <w:rFonts w:ascii="Arial" w:eastAsia="Times New Roman" w:hAnsi="Arial" w:cs="Arial"/>
          <w:color w:val="000000"/>
          <w:sz w:val="18"/>
          <w:szCs w:val="18"/>
          <w:lang w:val="en-US" w:eastAsia="fr-FR"/>
        </w:rPr>
        <w:t xml:space="preserve"> that, by virtue of part of the argument advanced under the third ground of appeal, the Federal Republic of Germany seeks to call in question findings of a factual nature.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7" w:name="point87"/>
      <w:proofErr w:type="gramStart"/>
      <w:r w:rsidRPr="00297478">
        <w:rPr>
          <w:rFonts w:ascii="Arial" w:eastAsia="Times New Roman" w:hAnsi="Arial" w:cs="Arial"/>
          <w:color w:val="006699"/>
          <w:sz w:val="18"/>
          <w:szCs w:val="18"/>
          <w:lang w:val="en-US" w:eastAsia="fr-FR"/>
        </w:rPr>
        <w:t>87</w:t>
      </w:r>
      <w:bookmarkEnd w:id="87"/>
      <w:r w:rsidRPr="00297478">
        <w:rPr>
          <w:rFonts w:ascii="Arial" w:eastAsia="Times New Roman" w:hAnsi="Arial" w:cs="Arial"/>
          <w:color w:val="000000"/>
          <w:sz w:val="18"/>
          <w:szCs w:val="18"/>
          <w:lang w:val="en-US" w:eastAsia="fr-FR"/>
        </w:rPr>
        <w:t>      Specifically, in so far as it invokes matters of fact surrounding the adoption of the decision at issue or that followed its adoption, with a view to challenging the General Court’s assessment regarding the lack, in that decision, of any examination by the Commission of the question whether the variation of the regime governing the operation of the OPAL pipeline, proposed by the German regulatory authority, could affect the energy interests of Member States liable to be affected, the appellant does no more than to call in question the factual analysis carried out by the General Court, which is not subject to review by the Court of Justice.</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8" w:name="point88"/>
      <w:r w:rsidRPr="00297478">
        <w:rPr>
          <w:rFonts w:ascii="Arial" w:eastAsia="Times New Roman" w:hAnsi="Arial" w:cs="Arial"/>
          <w:color w:val="006699"/>
          <w:sz w:val="18"/>
          <w:szCs w:val="18"/>
          <w:lang w:val="en-US" w:eastAsia="fr-FR"/>
        </w:rPr>
        <w:t>88</w:t>
      </w:r>
      <w:bookmarkEnd w:id="88"/>
      <w:r w:rsidRPr="00297478">
        <w:rPr>
          <w:rFonts w:ascii="Arial" w:eastAsia="Times New Roman" w:hAnsi="Arial" w:cs="Arial"/>
          <w:color w:val="000000"/>
          <w:sz w:val="18"/>
          <w:szCs w:val="18"/>
          <w:lang w:val="en-US" w:eastAsia="fr-FR"/>
        </w:rPr>
        <w:t>      It follows that the third ground of appeal is, to that extent, inadmissible.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89" w:name="point89"/>
      <w:r w:rsidRPr="00297478">
        <w:rPr>
          <w:rFonts w:ascii="Arial" w:eastAsia="Times New Roman" w:hAnsi="Arial" w:cs="Arial"/>
          <w:color w:val="006699"/>
          <w:sz w:val="18"/>
          <w:szCs w:val="18"/>
          <w:lang w:val="en-US" w:eastAsia="fr-FR"/>
        </w:rPr>
        <w:t>89</w:t>
      </w:r>
      <w:bookmarkEnd w:id="89"/>
      <w:r w:rsidRPr="00297478">
        <w:rPr>
          <w:rFonts w:ascii="Arial" w:eastAsia="Times New Roman" w:hAnsi="Arial" w:cs="Arial"/>
          <w:color w:val="000000"/>
          <w:sz w:val="18"/>
          <w:szCs w:val="18"/>
          <w:lang w:val="en-US" w:eastAsia="fr-FR"/>
        </w:rPr>
        <w:t>      Furthermore, in so far as the appellant challenges by this ground of appeal the General Court’s interpretation of the decision at issue, relying to that effect on the paragraphs of that decision referred to in paragraph 77 of the present judgment, this ground of appeal must be rejected as being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0" w:name="point90"/>
      <w:proofErr w:type="gramStart"/>
      <w:r w:rsidRPr="00297478">
        <w:rPr>
          <w:rFonts w:ascii="Arial" w:eastAsia="Times New Roman" w:hAnsi="Arial" w:cs="Arial"/>
          <w:color w:val="006699"/>
          <w:sz w:val="18"/>
          <w:szCs w:val="18"/>
          <w:lang w:val="en-US" w:eastAsia="fr-FR"/>
        </w:rPr>
        <w:t>90</w:t>
      </w:r>
      <w:bookmarkEnd w:id="90"/>
      <w:r w:rsidRPr="00297478">
        <w:rPr>
          <w:rFonts w:ascii="Arial" w:eastAsia="Times New Roman" w:hAnsi="Arial" w:cs="Arial"/>
          <w:color w:val="000000"/>
          <w:sz w:val="18"/>
          <w:szCs w:val="18"/>
          <w:lang w:val="en-US" w:eastAsia="fr-FR"/>
        </w:rPr>
        <w:t>      None of those paragraphs of the decision at issue is such as to call in question the General Court’s finding in paragraph 82 of the judgment under appeal that the Commission did not, in that decision, examine what the medium-term consequences, inter alia for the energy policy of the Republic of Poland, might be of the transfer to the Nord Stream 1/OPAL transit route of part of the volumes of natural gas previously transported via the Yamal and Braterstwo pipelines, or balance those effects against the increased security of supply at EU level.</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1" w:name="point91"/>
      <w:r w:rsidRPr="00297478">
        <w:rPr>
          <w:rFonts w:ascii="Arial" w:eastAsia="Times New Roman" w:hAnsi="Arial" w:cs="Arial"/>
          <w:color w:val="006699"/>
          <w:sz w:val="18"/>
          <w:szCs w:val="18"/>
          <w:lang w:val="en-US" w:eastAsia="fr-FR"/>
        </w:rPr>
        <w:t>91</w:t>
      </w:r>
      <w:bookmarkEnd w:id="91"/>
      <w:r w:rsidRPr="00297478">
        <w:rPr>
          <w:rFonts w:ascii="Arial" w:eastAsia="Times New Roman" w:hAnsi="Arial" w:cs="Arial"/>
          <w:color w:val="000000"/>
          <w:sz w:val="18"/>
          <w:szCs w:val="18"/>
          <w:lang w:val="en-US" w:eastAsia="fr-FR"/>
        </w:rPr>
        <w:t xml:space="preserve">      The third ground of appeal </w:t>
      </w:r>
      <w:proofErr w:type="gramStart"/>
      <w:r w:rsidRPr="00297478">
        <w:rPr>
          <w:rFonts w:ascii="Arial" w:eastAsia="Times New Roman" w:hAnsi="Arial" w:cs="Arial"/>
          <w:color w:val="000000"/>
          <w:sz w:val="18"/>
          <w:szCs w:val="18"/>
          <w:lang w:val="en-US" w:eastAsia="fr-FR"/>
        </w:rPr>
        <w:t>must, therefore, be rejected</w:t>
      </w:r>
      <w:proofErr w:type="gramEnd"/>
      <w:r w:rsidRPr="00297478">
        <w:rPr>
          <w:rFonts w:ascii="Arial" w:eastAsia="Times New Roman" w:hAnsi="Arial" w:cs="Arial"/>
          <w:color w:val="000000"/>
          <w:sz w:val="18"/>
          <w:szCs w:val="18"/>
          <w:lang w:val="en-US" w:eastAsia="fr-FR"/>
        </w:rPr>
        <w:t xml:space="preserve"> as being in part inadmissible and in part unfounded.</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Fourth ground of appeal: no obligation for the Commission to mention the principle of energy solidarity</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Arguments of the parties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2" w:name="point92"/>
      <w:proofErr w:type="gramStart"/>
      <w:r w:rsidRPr="00297478">
        <w:rPr>
          <w:rFonts w:ascii="Arial" w:eastAsia="Times New Roman" w:hAnsi="Arial" w:cs="Arial"/>
          <w:color w:val="006699"/>
          <w:sz w:val="18"/>
          <w:szCs w:val="18"/>
          <w:lang w:val="en-US" w:eastAsia="fr-FR"/>
        </w:rPr>
        <w:t>92</w:t>
      </w:r>
      <w:bookmarkEnd w:id="92"/>
      <w:r w:rsidRPr="00297478">
        <w:rPr>
          <w:rFonts w:ascii="Arial" w:eastAsia="Times New Roman" w:hAnsi="Arial" w:cs="Arial"/>
          <w:color w:val="000000"/>
          <w:sz w:val="18"/>
          <w:szCs w:val="18"/>
          <w:lang w:val="en-US" w:eastAsia="fr-FR"/>
        </w:rPr>
        <w:t>      By its fourth ground of appeal, the Federal Republic of Germany submits, first, that the General Court erred in law by finding, in paragraph 79 of the judgment under appeal, that the decision at issue does not disclose that the Commission did, as a matter of fact, carry out an examination of the principle of energy solidarity and, second, that the Commission was not required to mention that principle in the decision at issue.</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In the view of the Federal Republic of Germany, that decision is correct so far as its content is concerned in that it did not jeopardise the security of gas supply in Poland, which was not at risk, and therefore the Commission had no reason to examine in detail the consequences of the decision at issue for the Polish gas market.</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3" w:name="point93"/>
      <w:proofErr w:type="gramStart"/>
      <w:r w:rsidRPr="00297478">
        <w:rPr>
          <w:rFonts w:ascii="Arial" w:eastAsia="Times New Roman" w:hAnsi="Arial" w:cs="Arial"/>
          <w:color w:val="006699"/>
          <w:sz w:val="18"/>
          <w:szCs w:val="18"/>
          <w:lang w:val="en-US" w:eastAsia="fr-FR"/>
        </w:rPr>
        <w:t>93</w:t>
      </w:r>
      <w:bookmarkEnd w:id="93"/>
      <w:r w:rsidRPr="00297478">
        <w:rPr>
          <w:rFonts w:ascii="Arial" w:eastAsia="Times New Roman" w:hAnsi="Arial" w:cs="Arial"/>
          <w:color w:val="000000"/>
          <w:sz w:val="18"/>
          <w:szCs w:val="18"/>
          <w:lang w:val="en-US" w:eastAsia="fr-FR"/>
        </w:rPr>
        <w:t>      In that regard, the appellant refers to the case-law of the Court concerning the obligation to state the reasons for legal acts, in particular the judgment of 11 July 1989, </w:t>
      </w:r>
      <w:r w:rsidRPr="00297478">
        <w:rPr>
          <w:rFonts w:ascii="Arial" w:eastAsia="Times New Roman" w:hAnsi="Arial" w:cs="Arial"/>
          <w:i/>
          <w:iCs/>
          <w:color w:val="000000"/>
          <w:sz w:val="18"/>
          <w:szCs w:val="18"/>
          <w:lang w:val="en-US" w:eastAsia="fr-FR"/>
        </w:rPr>
        <w:t>Belasco and Others</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xml:space="preserve"> (246/86, EU:C:1989:301, paragraph 55), and to the principle of good administration, guaranteed by Article 41 of the Charter of Fundamental </w:t>
      </w:r>
      <w:r w:rsidRPr="00297478">
        <w:rPr>
          <w:rFonts w:ascii="Arial" w:eastAsia="Times New Roman" w:hAnsi="Arial" w:cs="Arial"/>
          <w:color w:val="000000"/>
          <w:sz w:val="18"/>
          <w:szCs w:val="18"/>
          <w:lang w:val="en-US" w:eastAsia="fr-FR"/>
        </w:rPr>
        <w:lastRenderedPageBreak/>
        <w:t>Rights of the European Union, from which it follows that it is not necessary to specify all the relevant facts and points of law.</w:t>
      </w:r>
      <w:proofErr w:type="gramEnd"/>
      <w:r w:rsidRPr="00297478">
        <w:rPr>
          <w:rFonts w:ascii="Arial" w:eastAsia="Times New Roman" w:hAnsi="Arial" w:cs="Arial"/>
          <w:color w:val="000000"/>
          <w:sz w:val="18"/>
          <w:szCs w:val="18"/>
          <w:lang w:val="en-US" w:eastAsia="fr-FR"/>
        </w:rPr>
        <w:t xml:space="preserve"> In the present case, to oblige the Commission to present all the consequences of the decision at issue for the Member States, in the light of the principle of energy solidarity, would be to exceed the requirements laid down by EU law.</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4" w:name="point94"/>
      <w:r w:rsidRPr="00297478">
        <w:rPr>
          <w:rFonts w:ascii="Arial" w:eastAsia="Times New Roman" w:hAnsi="Arial" w:cs="Arial"/>
          <w:color w:val="006699"/>
          <w:sz w:val="18"/>
          <w:szCs w:val="18"/>
          <w:lang w:val="en-US" w:eastAsia="fr-FR"/>
        </w:rPr>
        <w:t>94</w:t>
      </w:r>
      <w:bookmarkEnd w:id="94"/>
      <w:r w:rsidRPr="00297478">
        <w:rPr>
          <w:rFonts w:ascii="Arial" w:eastAsia="Times New Roman" w:hAnsi="Arial" w:cs="Arial"/>
          <w:color w:val="000000"/>
          <w:sz w:val="18"/>
          <w:szCs w:val="18"/>
          <w:lang w:val="en-US" w:eastAsia="fr-FR"/>
        </w:rPr>
        <w:t>      The Republic of Poland contends that the fourth ground of appeal is ineffective and, in any event,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5" w:name="point95"/>
      <w:r w:rsidRPr="00297478">
        <w:rPr>
          <w:rFonts w:ascii="Arial" w:eastAsia="Times New Roman" w:hAnsi="Arial" w:cs="Arial"/>
          <w:color w:val="006699"/>
          <w:sz w:val="18"/>
          <w:szCs w:val="18"/>
          <w:lang w:val="en-US" w:eastAsia="fr-FR"/>
        </w:rPr>
        <w:t>95</w:t>
      </w:r>
      <w:bookmarkEnd w:id="95"/>
      <w:r w:rsidRPr="00297478">
        <w:rPr>
          <w:rFonts w:ascii="Arial" w:eastAsia="Times New Roman" w:hAnsi="Arial" w:cs="Arial"/>
          <w:color w:val="000000"/>
          <w:sz w:val="18"/>
          <w:szCs w:val="18"/>
          <w:lang w:val="en-US" w:eastAsia="fr-FR"/>
        </w:rPr>
        <w:t>      The Republic of Lithuania, which analysed this ground of appeal in conjunction with the third ground of appeal, concurs with that analysis.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6" w:name="point96"/>
      <w:r w:rsidRPr="00297478">
        <w:rPr>
          <w:rFonts w:ascii="Arial" w:eastAsia="Times New Roman" w:hAnsi="Arial" w:cs="Arial"/>
          <w:color w:val="006699"/>
          <w:sz w:val="18"/>
          <w:szCs w:val="18"/>
          <w:lang w:val="en-US" w:eastAsia="fr-FR"/>
        </w:rPr>
        <w:t>96</w:t>
      </w:r>
      <w:bookmarkEnd w:id="96"/>
      <w:r w:rsidRPr="00297478">
        <w:rPr>
          <w:rFonts w:ascii="Arial" w:eastAsia="Times New Roman" w:hAnsi="Arial" w:cs="Arial"/>
          <w:color w:val="000000"/>
          <w:sz w:val="18"/>
          <w:szCs w:val="18"/>
          <w:lang w:val="en-US" w:eastAsia="fr-FR"/>
        </w:rPr>
        <w:t>      The Republic of Latvia and the Commission did not comment on the fourth ground of appeal.</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Findings of the Court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7" w:name="point97"/>
      <w:proofErr w:type="gramStart"/>
      <w:r w:rsidRPr="00297478">
        <w:rPr>
          <w:rFonts w:ascii="Arial" w:eastAsia="Times New Roman" w:hAnsi="Arial" w:cs="Arial"/>
          <w:color w:val="006699"/>
          <w:sz w:val="18"/>
          <w:szCs w:val="18"/>
          <w:lang w:val="en-US" w:eastAsia="fr-FR"/>
        </w:rPr>
        <w:t>97</w:t>
      </w:r>
      <w:bookmarkEnd w:id="97"/>
      <w:r w:rsidRPr="00297478">
        <w:rPr>
          <w:rFonts w:ascii="Arial" w:eastAsia="Times New Roman" w:hAnsi="Arial" w:cs="Arial"/>
          <w:color w:val="000000"/>
          <w:sz w:val="18"/>
          <w:szCs w:val="18"/>
          <w:lang w:val="en-US" w:eastAsia="fr-FR"/>
        </w:rPr>
        <w:t>      It should be noted that the General Court found, in paragraphs 79 to 82 of the judgment under appeal, not only that the principle of solidarity was not mentioned in the decision at issue but also that the decision itself does not disclose that the Commission adequately examined the impact of the extension of the exemption in relation to the OPAL pipeline on the Polish gas market and on the markets of the Member States other than the Republic of Poland, which could be geographically affected.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8" w:name="point98"/>
      <w:r w:rsidRPr="00297478">
        <w:rPr>
          <w:rFonts w:ascii="Arial" w:eastAsia="Times New Roman" w:hAnsi="Arial" w:cs="Arial"/>
          <w:color w:val="006699"/>
          <w:sz w:val="18"/>
          <w:szCs w:val="18"/>
          <w:lang w:val="en-US" w:eastAsia="fr-FR"/>
        </w:rPr>
        <w:t>98</w:t>
      </w:r>
      <w:bookmarkEnd w:id="98"/>
      <w:r w:rsidRPr="00297478">
        <w:rPr>
          <w:rFonts w:ascii="Arial" w:eastAsia="Times New Roman" w:hAnsi="Arial" w:cs="Arial"/>
          <w:color w:val="000000"/>
          <w:sz w:val="18"/>
          <w:szCs w:val="18"/>
          <w:lang w:val="en-US" w:eastAsia="fr-FR"/>
        </w:rPr>
        <w:t>      Contrary to the appellant’s claims, it is for that reason that the General Court concluded that the decision at issue should be annulled, and not merely because of the lack of any reference to the principle of energy solidarity in that decision or because the statement of reasons was insufficient.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99" w:name="point99"/>
      <w:r w:rsidRPr="00297478">
        <w:rPr>
          <w:rFonts w:ascii="Arial" w:eastAsia="Times New Roman" w:hAnsi="Arial" w:cs="Arial"/>
          <w:color w:val="006699"/>
          <w:sz w:val="18"/>
          <w:szCs w:val="18"/>
          <w:lang w:val="en-US" w:eastAsia="fr-FR"/>
        </w:rPr>
        <w:t>99</w:t>
      </w:r>
      <w:bookmarkEnd w:id="99"/>
      <w:r w:rsidRPr="00297478">
        <w:rPr>
          <w:rFonts w:ascii="Arial" w:eastAsia="Times New Roman" w:hAnsi="Arial" w:cs="Arial"/>
          <w:color w:val="000000"/>
          <w:sz w:val="18"/>
          <w:szCs w:val="18"/>
          <w:lang w:val="en-US" w:eastAsia="fr-FR"/>
        </w:rPr>
        <w:t xml:space="preserve">      Consequently, in so far as the judgment under appeal is based on the finding that the decision at issue was adopted in breach of the principle of energy </w:t>
      </w:r>
      <w:proofErr w:type="gramStart"/>
      <w:r w:rsidRPr="00297478">
        <w:rPr>
          <w:rFonts w:ascii="Arial" w:eastAsia="Times New Roman" w:hAnsi="Arial" w:cs="Arial"/>
          <w:color w:val="000000"/>
          <w:sz w:val="18"/>
          <w:szCs w:val="18"/>
          <w:lang w:val="en-US" w:eastAsia="fr-FR"/>
        </w:rPr>
        <w:t>solidarity,</w:t>
      </w:r>
      <w:proofErr w:type="gramEnd"/>
      <w:r w:rsidRPr="00297478">
        <w:rPr>
          <w:rFonts w:ascii="Arial" w:eastAsia="Times New Roman" w:hAnsi="Arial" w:cs="Arial"/>
          <w:color w:val="000000"/>
          <w:sz w:val="18"/>
          <w:szCs w:val="18"/>
          <w:lang w:val="en-US" w:eastAsia="fr-FR"/>
        </w:rPr>
        <w:t xml:space="preserve"> the fourth ground of appeal must be rejected as being ineffective.</w:t>
      </w:r>
    </w:p>
    <w:p w:rsidR="00DF6CDB" w:rsidRPr="00297478" w:rsidRDefault="00DF6CDB"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Fifth ground of appeal: infringement of the second paragraph of Article 263 TFEU</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Arguments of the parties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0" w:name="point100"/>
      <w:r w:rsidRPr="00297478">
        <w:rPr>
          <w:rFonts w:ascii="Arial" w:eastAsia="Times New Roman" w:hAnsi="Arial" w:cs="Arial"/>
          <w:color w:val="006699"/>
          <w:sz w:val="18"/>
          <w:szCs w:val="18"/>
          <w:lang w:val="en-US" w:eastAsia="fr-FR"/>
        </w:rPr>
        <w:t>100</w:t>
      </w:r>
      <w:bookmarkEnd w:id="100"/>
      <w:r w:rsidRPr="00297478">
        <w:rPr>
          <w:rFonts w:ascii="Arial" w:eastAsia="Times New Roman" w:hAnsi="Arial" w:cs="Arial"/>
          <w:color w:val="000000"/>
          <w:sz w:val="18"/>
          <w:szCs w:val="18"/>
          <w:lang w:val="en-US" w:eastAsia="fr-FR"/>
        </w:rPr>
        <w:t>    By its fifth ground of appeal, the Federal Republic of Germany submits that, in paragraph 79 of the judgment under appeal, the General Court infringed the second paragraph of Article 263 TFEU. This ground of appeal is in two parts.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1" w:name="point101"/>
      <w:proofErr w:type="gramStart"/>
      <w:r w:rsidRPr="00297478">
        <w:rPr>
          <w:rFonts w:ascii="Arial" w:eastAsia="Times New Roman" w:hAnsi="Arial" w:cs="Arial"/>
          <w:color w:val="006699"/>
          <w:sz w:val="18"/>
          <w:szCs w:val="18"/>
          <w:lang w:val="en-US" w:eastAsia="fr-FR"/>
        </w:rPr>
        <w:t>101</w:t>
      </w:r>
      <w:bookmarkEnd w:id="101"/>
      <w:r w:rsidRPr="00297478">
        <w:rPr>
          <w:rFonts w:ascii="Arial" w:eastAsia="Times New Roman" w:hAnsi="Arial" w:cs="Arial"/>
          <w:color w:val="000000"/>
          <w:sz w:val="18"/>
          <w:szCs w:val="18"/>
          <w:lang w:val="en-US" w:eastAsia="fr-FR"/>
        </w:rPr>
        <w:t>    By the first part of the fifth ground of appeal, the appellant maintains that the General Court erred in law in so far as it accepted that the decision at issue does not disclose that the Commission did, as a matter of fact, carry out an examination of the principle of energy solidarity, whereas a decision that is erroneous only from a formal aspect should not be automatically annulled.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2" w:name="point102"/>
      <w:r w:rsidRPr="00297478">
        <w:rPr>
          <w:rFonts w:ascii="Arial" w:eastAsia="Times New Roman" w:hAnsi="Arial" w:cs="Arial"/>
          <w:color w:val="006699"/>
          <w:sz w:val="18"/>
          <w:szCs w:val="18"/>
          <w:lang w:val="en-US" w:eastAsia="fr-FR"/>
        </w:rPr>
        <w:t>102</w:t>
      </w:r>
      <w:bookmarkEnd w:id="102"/>
      <w:r w:rsidRPr="00297478">
        <w:rPr>
          <w:rFonts w:ascii="Arial" w:eastAsia="Times New Roman" w:hAnsi="Arial" w:cs="Arial"/>
          <w:color w:val="000000"/>
          <w:sz w:val="18"/>
          <w:szCs w:val="18"/>
          <w:lang w:val="en-US" w:eastAsia="fr-FR"/>
        </w:rPr>
        <w:t xml:space="preserve">    According to the Federal Republic of Germany, under the second paragraph of Article 263 TFEU, decisions that are materially correct, albeit unlawful on procedural </w:t>
      </w:r>
      <w:proofErr w:type="gramStart"/>
      <w:r w:rsidRPr="00297478">
        <w:rPr>
          <w:rFonts w:ascii="Arial" w:eastAsia="Times New Roman" w:hAnsi="Arial" w:cs="Arial"/>
          <w:color w:val="000000"/>
          <w:sz w:val="18"/>
          <w:szCs w:val="18"/>
          <w:lang w:val="en-US" w:eastAsia="fr-FR"/>
        </w:rPr>
        <w:t>grounds,</w:t>
      </w:r>
      <w:proofErr w:type="gramEnd"/>
      <w:r w:rsidRPr="00297478">
        <w:rPr>
          <w:rFonts w:ascii="Arial" w:eastAsia="Times New Roman" w:hAnsi="Arial" w:cs="Arial"/>
          <w:color w:val="000000"/>
          <w:sz w:val="18"/>
          <w:szCs w:val="18"/>
          <w:lang w:val="en-US" w:eastAsia="fr-FR"/>
        </w:rPr>
        <w:t xml:space="preserve"> are not to be annulled.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3" w:name="point103"/>
      <w:r w:rsidRPr="00297478">
        <w:rPr>
          <w:rFonts w:ascii="Arial" w:eastAsia="Times New Roman" w:hAnsi="Arial" w:cs="Arial"/>
          <w:color w:val="006699"/>
          <w:sz w:val="18"/>
          <w:szCs w:val="18"/>
          <w:lang w:val="en-US" w:eastAsia="fr-FR"/>
        </w:rPr>
        <w:t>103</w:t>
      </w:r>
      <w:bookmarkEnd w:id="103"/>
      <w:r w:rsidRPr="00297478">
        <w:rPr>
          <w:rFonts w:ascii="Arial" w:eastAsia="Times New Roman" w:hAnsi="Arial" w:cs="Arial"/>
          <w:color w:val="000000"/>
          <w:sz w:val="18"/>
          <w:szCs w:val="18"/>
          <w:lang w:val="en-US" w:eastAsia="fr-FR"/>
        </w:rPr>
        <w:t>    The second part of the fifth ground of appeal relates to the fact that the General Court allegedly erred in law by taking into account the argument of the Republic of Poland concerning the alleged breach of the principle of energy solidarity, which should have been invoked in the context of an action against Decision C(2009) 4694. Accordingly, that argument, raised before the General Court in the context of an action for annulment of the decision at issue, is, it is claimed, out of time and should not therefore have been taken into account in this action.</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4" w:name="point104"/>
      <w:r w:rsidRPr="00297478">
        <w:rPr>
          <w:rFonts w:ascii="Arial" w:eastAsia="Times New Roman" w:hAnsi="Arial" w:cs="Arial"/>
          <w:color w:val="006699"/>
          <w:sz w:val="18"/>
          <w:szCs w:val="18"/>
          <w:lang w:val="en-US" w:eastAsia="fr-FR"/>
        </w:rPr>
        <w:t>104</w:t>
      </w:r>
      <w:bookmarkEnd w:id="104"/>
      <w:r w:rsidRPr="00297478">
        <w:rPr>
          <w:rFonts w:ascii="Arial" w:eastAsia="Times New Roman" w:hAnsi="Arial" w:cs="Arial"/>
          <w:color w:val="000000"/>
          <w:sz w:val="18"/>
          <w:szCs w:val="18"/>
          <w:lang w:val="en-US" w:eastAsia="fr-FR"/>
        </w:rPr>
        <w:t>    The Republic of Poland and the Republic of Lithuania contend that the fifth ground of appeal is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5" w:name="point105"/>
      <w:r w:rsidRPr="00297478">
        <w:rPr>
          <w:rFonts w:ascii="Arial" w:eastAsia="Times New Roman" w:hAnsi="Arial" w:cs="Arial"/>
          <w:color w:val="006699"/>
          <w:sz w:val="18"/>
          <w:szCs w:val="18"/>
          <w:lang w:val="en-US" w:eastAsia="fr-FR"/>
        </w:rPr>
        <w:t>105</w:t>
      </w:r>
      <w:bookmarkEnd w:id="105"/>
      <w:r w:rsidRPr="00297478">
        <w:rPr>
          <w:rFonts w:ascii="Arial" w:eastAsia="Times New Roman" w:hAnsi="Arial" w:cs="Arial"/>
          <w:color w:val="000000"/>
          <w:sz w:val="18"/>
          <w:szCs w:val="18"/>
          <w:lang w:val="en-US" w:eastAsia="fr-FR"/>
        </w:rPr>
        <w:t>    The Republic of Latvia and the Commission did not comment on the fifth ground of appeal.</w:t>
      </w:r>
    </w:p>
    <w:p w:rsidR="00DF6CDB" w:rsidRPr="00297478" w:rsidRDefault="00DF6CDB"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Findings of the Court</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6" w:name="point106"/>
      <w:r w:rsidRPr="00297478">
        <w:rPr>
          <w:rFonts w:ascii="Arial" w:eastAsia="Times New Roman" w:hAnsi="Arial" w:cs="Arial"/>
          <w:color w:val="006699"/>
          <w:sz w:val="18"/>
          <w:szCs w:val="18"/>
          <w:lang w:val="en-US" w:eastAsia="fr-FR"/>
        </w:rPr>
        <w:t>106</w:t>
      </w:r>
      <w:bookmarkEnd w:id="106"/>
      <w:r w:rsidRPr="00297478">
        <w:rPr>
          <w:rFonts w:ascii="Arial" w:eastAsia="Times New Roman" w:hAnsi="Arial" w:cs="Arial"/>
          <w:color w:val="000000"/>
          <w:sz w:val="18"/>
          <w:szCs w:val="18"/>
          <w:lang w:val="en-US" w:eastAsia="fr-FR"/>
        </w:rPr>
        <w:t xml:space="preserve">    As regards the first part of the fifth ground of appeal, it </w:t>
      </w:r>
      <w:proofErr w:type="gramStart"/>
      <w:r w:rsidRPr="00297478">
        <w:rPr>
          <w:rFonts w:ascii="Arial" w:eastAsia="Times New Roman" w:hAnsi="Arial" w:cs="Arial"/>
          <w:color w:val="000000"/>
          <w:sz w:val="18"/>
          <w:szCs w:val="18"/>
          <w:lang w:val="en-US" w:eastAsia="fr-FR"/>
        </w:rPr>
        <w:t>must be observed</w:t>
      </w:r>
      <w:proofErr w:type="gramEnd"/>
      <w:r w:rsidRPr="00297478">
        <w:rPr>
          <w:rFonts w:ascii="Arial" w:eastAsia="Times New Roman" w:hAnsi="Arial" w:cs="Arial"/>
          <w:color w:val="000000"/>
          <w:sz w:val="18"/>
          <w:szCs w:val="18"/>
          <w:lang w:val="en-US" w:eastAsia="fr-FR"/>
        </w:rPr>
        <w:t xml:space="preserve"> that, contrary to the appellant’s claims, and as has been noted in paragraphs 97 and 99 of the present judgment, the General Court did not annul the decision at issue because of a failure to state reasons. In particular, in paragraphs 83 and 84 of the judgment under appeal, the General Court held that the decision at issue </w:t>
      </w:r>
      <w:proofErr w:type="gramStart"/>
      <w:r w:rsidRPr="00297478">
        <w:rPr>
          <w:rFonts w:ascii="Arial" w:eastAsia="Times New Roman" w:hAnsi="Arial" w:cs="Arial"/>
          <w:color w:val="000000"/>
          <w:sz w:val="18"/>
          <w:szCs w:val="18"/>
          <w:lang w:val="en-US" w:eastAsia="fr-FR"/>
        </w:rPr>
        <w:t>was adopted</w:t>
      </w:r>
      <w:proofErr w:type="gramEnd"/>
      <w:r w:rsidRPr="00297478">
        <w:rPr>
          <w:rFonts w:ascii="Arial" w:eastAsia="Times New Roman" w:hAnsi="Arial" w:cs="Arial"/>
          <w:color w:val="000000"/>
          <w:sz w:val="18"/>
          <w:szCs w:val="18"/>
          <w:lang w:val="en-US" w:eastAsia="fr-FR"/>
        </w:rPr>
        <w:t xml:space="preserve"> in breach of the principle of energy solidarity and that, therefore, that decision was to be annulled to the extent that it breached that principle. It follows that the first part of this ground of appeal is ineffective.</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7" w:name="point107"/>
      <w:proofErr w:type="gramStart"/>
      <w:r w:rsidRPr="00297478">
        <w:rPr>
          <w:rFonts w:ascii="Arial" w:eastAsia="Times New Roman" w:hAnsi="Arial" w:cs="Arial"/>
          <w:color w:val="006699"/>
          <w:sz w:val="18"/>
          <w:szCs w:val="18"/>
          <w:lang w:val="en-US" w:eastAsia="fr-FR"/>
        </w:rPr>
        <w:lastRenderedPageBreak/>
        <w:t>107</w:t>
      </w:r>
      <w:bookmarkEnd w:id="107"/>
      <w:r w:rsidRPr="00297478">
        <w:rPr>
          <w:rFonts w:ascii="Arial" w:eastAsia="Times New Roman" w:hAnsi="Arial" w:cs="Arial"/>
          <w:color w:val="000000"/>
          <w:sz w:val="18"/>
          <w:szCs w:val="18"/>
          <w:lang w:val="en-US" w:eastAsia="fr-FR"/>
        </w:rPr>
        <w:t>    As regards the second part of the fifth ground of appeal, it is sufficient to note that the decision at issue amended the exemption conditions laid down in Decision C(2009) 4694 and that these two decisions are independent of one another, as the General Court stated in paragraph 57 of the judgment under appeal, to which the appeal does not refer; therefore the argument of the Federal Republic of Germany to the effect that the action brought by the Republic of Poland against the decision at issue is out of time because the Republic of Poland had not brought an action against Decision C(2009) 4694 cannot succeed.</w:t>
      </w:r>
      <w:proofErr w:type="gramEnd"/>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8" w:name="point108"/>
      <w:r w:rsidRPr="00297478">
        <w:rPr>
          <w:rFonts w:ascii="Arial" w:eastAsia="Times New Roman" w:hAnsi="Arial" w:cs="Arial"/>
          <w:color w:val="006699"/>
          <w:sz w:val="18"/>
          <w:szCs w:val="18"/>
          <w:lang w:val="en-US" w:eastAsia="fr-FR"/>
        </w:rPr>
        <w:t>108</w:t>
      </w:r>
      <w:bookmarkEnd w:id="108"/>
      <w:r w:rsidRPr="00297478">
        <w:rPr>
          <w:rFonts w:ascii="Arial" w:eastAsia="Times New Roman" w:hAnsi="Arial" w:cs="Arial"/>
          <w:color w:val="000000"/>
          <w:sz w:val="18"/>
          <w:szCs w:val="18"/>
          <w:lang w:val="en-US" w:eastAsia="fr-FR"/>
        </w:rPr>
        <w:t>    It follows that the second part of the fifth ground of appeal is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09" w:name="point109"/>
      <w:r w:rsidRPr="00297478">
        <w:rPr>
          <w:rFonts w:ascii="Arial" w:eastAsia="Times New Roman" w:hAnsi="Arial" w:cs="Arial"/>
          <w:color w:val="006699"/>
          <w:sz w:val="18"/>
          <w:szCs w:val="18"/>
          <w:lang w:val="en-US" w:eastAsia="fr-FR"/>
        </w:rPr>
        <w:t>109</w:t>
      </w:r>
      <w:bookmarkEnd w:id="109"/>
      <w:r w:rsidRPr="00297478">
        <w:rPr>
          <w:rFonts w:ascii="Arial" w:eastAsia="Times New Roman" w:hAnsi="Arial" w:cs="Arial"/>
          <w:color w:val="000000"/>
          <w:sz w:val="18"/>
          <w:szCs w:val="18"/>
          <w:lang w:val="en-US" w:eastAsia="fr-FR"/>
        </w:rPr>
        <w:t xml:space="preserve">    Consequently, the fifth ground of appeal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 xml:space="preserve"> as being in part ineffective and in part unfounded.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0" w:name="point110"/>
      <w:r w:rsidRPr="00297478">
        <w:rPr>
          <w:rFonts w:ascii="Arial" w:eastAsia="Times New Roman" w:hAnsi="Arial" w:cs="Arial"/>
          <w:color w:val="006699"/>
          <w:sz w:val="18"/>
          <w:szCs w:val="18"/>
          <w:lang w:val="en-US" w:eastAsia="fr-FR"/>
        </w:rPr>
        <w:t>110</w:t>
      </w:r>
      <w:bookmarkEnd w:id="110"/>
      <w:r w:rsidRPr="00297478">
        <w:rPr>
          <w:rFonts w:ascii="Arial" w:eastAsia="Times New Roman" w:hAnsi="Arial" w:cs="Arial"/>
          <w:color w:val="000000"/>
          <w:sz w:val="18"/>
          <w:szCs w:val="18"/>
          <w:lang w:val="en-US" w:eastAsia="fr-FR"/>
        </w:rPr>
        <w:t xml:space="preserve">    It follows from all of the foregoing considerations that, since none of the grounds of appeal </w:t>
      </w:r>
      <w:proofErr w:type="gramStart"/>
      <w:r w:rsidRPr="00297478">
        <w:rPr>
          <w:rFonts w:ascii="Arial" w:eastAsia="Times New Roman" w:hAnsi="Arial" w:cs="Arial"/>
          <w:color w:val="000000"/>
          <w:sz w:val="18"/>
          <w:szCs w:val="18"/>
          <w:lang w:val="en-US" w:eastAsia="fr-FR"/>
        </w:rPr>
        <w:t>has been upheld</w:t>
      </w:r>
      <w:proofErr w:type="gramEnd"/>
      <w:r w:rsidRPr="00297478">
        <w:rPr>
          <w:rFonts w:ascii="Arial" w:eastAsia="Times New Roman" w:hAnsi="Arial" w:cs="Arial"/>
          <w:color w:val="000000"/>
          <w:sz w:val="18"/>
          <w:szCs w:val="18"/>
          <w:lang w:val="en-US" w:eastAsia="fr-FR"/>
        </w:rPr>
        <w:t>, the appeal must be dismissed in its entirety.</w:t>
      </w:r>
    </w:p>
    <w:p w:rsidR="00DF6CDB" w:rsidRPr="00297478" w:rsidRDefault="00DF6CDB"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Costs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1" w:name="point111"/>
      <w:r w:rsidRPr="00297478">
        <w:rPr>
          <w:rFonts w:ascii="Arial" w:eastAsia="Times New Roman" w:hAnsi="Arial" w:cs="Arial"/>
          <w:color w:val="006699"/>
          <w:sz w:val="18"/>
          <w:szCs w:val="18"/>
          <w:lang w:val="en-US" w:eastAsia="fr-FR"/>
        </w:rPr>
        <w:t>111</w:t>
      </w:r>
      <w:bookmarkEnd w:id="111"/>
      <w:r w:rsidRPr="00297478">
        <w:rPr>
          <w:rFonts w:ascii="Arial" w:eastAsia="Times New Roman" w:hAnsi="Arial" w:cs="Arial"/>
          <w:color w:val="000000"/>
          <w:sz w:val="18"/>
          <w:szCs w:val="18"/>
          <w:lang w:val="en-US" w:eastAsia="fr-FR"/>
        </w:rPr>
        <w:t>    Under Article 138(1) of the Rules of Procedure, which applies to appeal proceedings by virtue of Article 184(1) thereof, the unsuccessful party is to be ordered to pay the costs if they have been applied for in the successful party’s pleadings.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2" w:name="point112"/>
      <w:r w:rsidRPr="00297478">
        <w:rPr>
          <w:rFonts w:ascii="Arial" w:eastAsia="Times New Roman" w:hAnsi="Arial" w:cs="Arial"/>
          <w:color w:val="006699"/>
          <w:sz w:val="18"/>
          <w:szCs w:val="18"/>
          <w:lang w:val="en-US" w:eastAsia="fr-FR"/>
        </w:rPr>
        <w:t>112</w:t>
      </w:r>
      <w:bookmarkEnd w:id="112"/>
      <w:r w:rsidRPr="00297478">
        <w:rPr>
          <w:rFonts w:ascii="Arial" w:eastAsia="Times New Roman" w:hAnsi="Arial" w:cs="Arial"/>
          <w:color w:val="000000"/>
          <w:sz w:val="18"/>
          <w:szCs w:val="18"/>
          <w:lang w:val="en-US" w:eastAsia="fr-FR"/>
        </w:rPr>
        <w:t xml:space="preserve">    Since the Republic of Poland has applied for costs to </w:t>
      </w:r>
      <w:proofErr w:type="gramStart"/>
      <w:r w:rsidRPr="00297478">
        <w:rPr>
          <w:rFonts w:ascii="Arial" w:eastAsia="Times New Roman" w:hAnsi="Arial" w:cs="Arial"/>
          <w:color w:val="000000"/>
          <w:sz w:val="18"/>
          <w:szCs w:val="18"/>
          <w:lang w:val="en-US" w:eastAsia="fr-FR"/>
        </w:rPr>
        <w:t>be awarded</w:t>
      </w:r>
      <w:proofErr w:type="gramEnd"/>
      <w:r w:rsidRPr="00297478">
        <w:rPr>
          <w:rFonts w:ascii="Arial" w:eastAsia="Times New Roman" w:hAnsi="Arial" w:cs="Arial"/>
          <w:color w:val="000000"/>
          <w:sz w:val="18"/>
          <w:szCs w:val="18"/>
          <w:lang w:val="en-US" w:eastAsia="fr-FR"/>
        </w:rPr>
        <w:t xml:space="preserve"> against the Federal Republic of Germany, and since the latter has been unsuccessful, the Federal Republic of Germany must be ordered to bear its own costs and to pay those incurred by the Republic of Poland.</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3" w:name="point113"/>
      <w:r w:rsidRPr="00297478">
        <w:rPr>
          <w:rFonts w:ascii="Arial" w:eastAsia="Times New Roman" w:hAnsi="Arial" w:cs="Arial"/>
          <w:color w:val="006699"/>
          <w:sz w:val="18"/>
          <w:szCs w:val="18"/>
          <w:lang w:val="en-US" w:eastAsia="fr-FR"/>
        </w:rPr>
        <w:t>113</w:t>
      </w:r>
      <w:bookmarkEnd w:id="113"/>
      <w:r w:rsidRPr="00297478">
        <w:rPr>
          <w:rFonts w:ascii="Arial" w:eastAsia="Times New Roman" w:hAnsi="Arial" w:cs="Arial"/>
          <w:color w:val="000000"/>
          <w:sz w:val="18"/>
          <w:szCs w:val="18"/>
          <w:lang w:val="en-US" w:eastAsia="fr-FR"/>
        </w:rPr>
        <w:t xml:space="preserve">    In accordance with Article 140(1) of the Rules of Procedure, also applicable to appeal proceedings by virtue of Article 184(1) thereof, the Member States and </w:t>
      </w:r>
      <w:proofErr w:type="gramStart"/>
      <w:r w:rsidRPr="00297478">
        <w:rPr>
          <w:rFonts w:ascii="Arial" w:eastAsia="Times New Roman" w:hAnsi="Arial" w:cs="Arial"/>
          <w:color w:val="000000"/>
          <w:sz w:val="18"/>
          <w:szCs w:val="18"/>
          <w:lang w:val="en-US" w:eastAsia="fr-FR"/>
        </w:rPr>
        <w:t>institutions which have intervened in the proceedings</w:t>
      </w:r>
      <w:proofErr w:type="gramEnd"/>
      <w:r w:rsidRPr="00297478">
        <w:rPr>
          <w:rFonts w:ascii="Arial" w:eastAsia="Times New Roman" w:hAnsi="Arial" w:cs="Arial"/>
          <w:color w:val="000000"/>
          <w:sz w:val="18"/>
          <w:szCs w:val="18"/>
          <w:lang w:val="en-US" w:eastAsia="fr-FR"/>
        </w:rPr>
        <w:t xml:space="preserve"> are to bear their own costs. Where an intervener at first instance, who has not brought the appeal, participates in the proceedings before the Court, the Court </w:t>
      </w:r>
      <w:proofErr w:type="gramStart"/>
      <w:r w:rsidRPr="00297478">
        <w:rPr>
          <w:rFonts w:ascii="Arial" w:eastAsia="Times New Roman" w:hAnsi="Arial" w:cs="Arial"/>
          <w:color w:val="000000"/>
          <w:sz w:val="18"/>
          <w:szCs w:val="18"/>
          <w:lang w:val="en-US" w:eastAsia="fr-FR"/>
        </w:rPr>
        <w:t>may, under Article 184(4) of the Rules of Procedure, decide</w:t>
      </w:r>
      <w:proofErr w:type="gramEnd"/>
      <w:r w:rsidRPr="00297478">
        <w:rPr>
          <w:rFonts w:ascii="Arial" w:eastAsia="Times New Roman" w:hAnsi="Arial" w:cs="Arial"/>
          <w:color w:val="000000"/>
          <w:sz w:val="18"/>
          <w:szCs w:val="18"/>
          <w:lang w:val="en-US" w:eastAsia="fr-FR"/>
        </w:rPr>
        <w:t xml:space="preserve"> that the intervener is to bear its own costs.</w:t>
      </w:r>
    </w:p>
    <w:p w:rsidR="00DF6CDB" w:rsidRPr="00297478" w:rsidRDefault="00DF6CDB"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4" w:name="point114"/>
      <w:r w:rsidRPr="00297478">
        <w:rPr>
          <w:rFonts w:ascii="Arial" w:eastAsia="Times New Roman" w:hAnsi="Arial" w:cs="Arial"/>
          <w:color w:val="006699"/>
          <w:sz w:val="18"/>
          <w:szCs w:val="18"/>
          <w:lang w:val="en-US" w:eastAsia="fr-FR"/>
        </w:rPr>
        <w:t>114</w:t>
      </w:r>
      <w:bookmarkEnd w:id="114"/>
      <w:r w:rsidRPr="00297478">
        <w:rPr>
          <w:rFonts w:ascii="Arial" w:eastAsia="Times New Roman" w:hAnsi="Arial" w:cs="Arial"/>
          <w:color w:val="000000"/>
          <w:sz w:val="18"/>
          <w:szCs w:val="18"/>
          <w:lang w:val="en-US" w:eastAsia="fr-FR"/>
        </w:rPr>
        <w:t xml:space="preserve">    Since the Republic of Latvia, the Republic of Lithuania and the Commission participated in the proceedings before the Court, they </w:t>
      </w:r>
      <w:proofErr w:type="gramStart"/>
      <w:r w:rsidRPr="00297478">
        <w:rPr>
          <w:rFonts w:ascii="Arial" w:eastAsia="Times New Roman" w:hAnsi="Arial" w:cs="Arial"/>
          <w:color w:val="000000"/>
          <w:sz w:val="18"/>
          <w:szCs w:val="18"/>
          <w:lang w:val="en-US" w:eastAsia="fr-FR"/>
        </w:rPr>
        <w:t>must be ordered</w:t>
      </w:r>
      <w:proofErr w:type="gramEnd"/>
      <w:r w:rsidRPr="00297478">
        <w:rPr>
          <w:rFonts w:ascii="Arial" w:eastAsia="Times New Roman" w:hAnsi="Arial" w:cs="Arial"/>
          <w:color w:val="000000"/>
          <w:sz w:val="18"/>
          <w:szCs w:val="18"/>
          <w:lang w:val="en-US" w:eastAsia="fr-FR"/>
        </w:rPr>
        <w:t xml:space="preserve"> to bear their own costs.</w:t>
      </w:r>
    </w:p>
    <w:p w:rsidR="00DF6CDB" w:rsidRPr="00297478" w:rsidRDefault="00DF6CDB" w:rsidP="00761F1A">
      <w:pPr>
        <w:spacing w:before="100" w:beforeAutospacing="1" w:after="100" w:afterAutospacing="1" w:line="240" w:lineRule="auto"/>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On those grounds, the Court (Grand Chamber) hereby:</w:t>
      </w:r>
    </w:p>
    <w:p w:rsidR="00DF6CDB" w:rsidRPr="00297478" w:rsidRDefault="00DF6CDB"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1.      Dismisses the appeal</w:t>
      </w:r>
      <w:proofErr w:type="gramStart"/>
      <w:r w:rsidRPr="00297478">
        <w:rPr>
          <w:rFonts w:ascii="Arial" w:eastAsia="Times New Roman" w:hAnsi="Arial" w:cs="Arial"/>
          <w:b/>
          <w:bCs/>
          <w:color w:val="000000"/>
          <w:sz w:val="18"/>
          <w:szCs w:val="18"/>
          <w:lang w:val="en-US" w:eastAsia="fr-FR"/>
        </w:rPr>
        <w:t>;</w:t>
      </w:r>
      <w:proofErr w:type="gramEnd"/>
    </w:p>
    <w:p w:rsidR="00DF6CDB" w:rsidRPr="00297478" w:rsidRDefault="00DF6CDB"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2.      Orders the Federal Republic of Germany to bear its own costs and to pay those incurred by the Republic of Poland</w:t>
      </w:r>
      <w:proofErr w:type="gramStart"/>
      <w:r w:rsidRPr="00297478">
        <w:rPr>
          <w:rFonts w:ascii="Arial" w:eastAsia="Times New Roman" w:hAnsi="Arial" w:cs="Arial"/>
          <w:b/>
          <w:bCs/>
          <w:color w:val="000000"/>
          <w:sz w:val="18"/>
          <w:szCs w:val="18"/>
          <w:lang w:val="en-US" w:eastAsia="fr-FR"/>
        </w:rPr>
        <w:t>;</w:t>
      </w:r>
      <w:proofErr w:type="gramEnd"/>
    </w:p>
    <w:p w:rsidR="00DF6CDB" w:rsidRPr="00297478" w:rsidRDefault="00DF6CDB"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3.      Orders the Republic of Latvia, the Republic of Lithuania and the European Commission to bear their own costs.</w:t>
      </w:r>
    </w:p>
    <w:p w:rsidR="00DF6CDB" w:rsidRDefault="00DF6CDB" w:rsidP="00E23D27">
      <w:pPr>
        <w:rPr>
          <w:b/>
          <w:sz w:val="24"/>
          <w:szCs w:val="24"/>
          <w:lang w:val="en-US"/>
        </w:rPr>
      </w:pP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Pr>
          <w:b/>
          <w:sz w:val="24"/>
          <w:szCs w:val="24"/>
          <w:lang w:val="en-US"/>
        </w:rPr>
        <w:t>Doc 2 – Transport activities – articulation with internal market – CJUE, 20 december 2017, C-434/15</w:t>
      </w:r>
      <w:proofErr w:type="gramStart"/>
      <w:r>
        <w:rPr>
          <w:b/>
          <w:sz w:val="24"/>
          <w:szCs w:val="24"/>
          <w:lang w:val="en-US"/>
        </w:rPr>
        <w:t xml:space="preserve">,  </w:t>
      </w:r>
      <w:r w:rsidRPr="00761F1A">
        <w:rPr>
          <w:rFonts w:ascii="Arial" w:eastAsia="Times New Roman" w:hAnsi="Arial" w:cs="Arial"/>
          <w:b/>
          <w:bCs/>
          <w:color w:val="000000"/>
          <w:sz w:val="18"/>
          <w:szCs w:val="18"/>
          <w:lang w:val="en-US" w:eastAsia="fr-FR"/>
        </w:rPr>
        <w:t>Asociación</w:t>
      </w:r>
      <w:proofErr w:type="gramEnd"/>
      <w:r w:rsidRPr="00761F1A">
        <w:rPr>
          <w:rFonts w:ascii="Arial" w:eastAsia="Times New Roman" w:hAnsi="Arial" w:cs="Arial"/>
          <w:b/>
          <w:bCs/>
          <w:color w:val="000000"/>
          <w:sz w:val="18"/>
          <w:szCs w:val="18"/>
          <w:lang w:val="en-US" w:eastAsia="fr-FR"/>
        </w:rPr>
        <w:t xml:space="preserve"> Profesional Élite Taxi</w:t>
      </w:r>
      <w:r>
        <w:rPr>
          <w:rFonts w:ascii="Arial" w:eastAsia="Times New Roman" w:hAnsi="Arial" w:cs="Arial"/>
          <w:b/>
          <w:bCs/>
          <w:color w:val="000000"/>
          <w:sz w:val="18"/>
          <w:szCs w:val="18"/>
          <w:lang w:val="en-US" w:eastAsia="fr-FR"/>
        </w:rPr>
        <w:t xml:space="preserve"> c. </w:t>
      </w:r>
      <w:r w:rsidRPr="00761F1A">
        <w:rPr>
          <w:rFonts w:ascii="Arial" w:eastAsia="Times New Roman" w:hAnsi="Arial" w:cs="Arial"/>
          <w:b/>
          <w:bCs/>
          <w:color w:val="000000"/>
          <w:sz w:val="18"/>
          <w:szCs w:val="18"/>
          <w:lang w:val="en-US" w:eastAsia="fr-FR"/>
        </w:rPr>
        <w:t>Asociación Profesional Élite Taxi</w:t>
      </w:r>
      <w:r>
        <w:rPr>
          <w:rFonts w:ascii="Arial" w:eastAsia="Times New Roman" w:hAnsi="Arial" w:cs="Arial"/>
          <w:b/>
          <w:bCs/>
          <w:color w:val="000000"/>
          <w:sz w:val="18"/>
          <w:szCs w:val="18"/>
          <w:lang w:val="en-US" w:eastAsia="fr-FR"/>
        </w:rPr>
        <w:t>, Uber Spain</w:t>
      </w:r>
    </w:p>
    <w:p w:rsidR="00761F1A" w:rsidRPr="00761F1A" w:rsidRDefault="00761F1A" w:rsidP="00761F1A">
      <w:pPr>
        <w:spacing w:after="240" w:line="240" w:lineRule="auto"/>
        <w:ind w:left="567"/>
        <w:jc w:val="center"/>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THE COURT (Grand Chamber),</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composed of K. Lenaerts, President, A. Tizzano, Vice-President, R. Silva de Lapuerta, M. Ilešič, J.L. da Cruz Vilaça, J. Malenovský and E. Levits, Presidents of Chambers, E. Juhász, A. Borg Barthet, D. Šváby (Rapporteur), C. Lycourgos, M. Vilaras and E. Regan, Judges,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Advocate General: M. Szpunar,</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Registrar: M. Ferreira, Principal Administrator,</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having</w:t>
      </w:r>
      <w:proofErr w:type="gramEnd"/>
      <w:r w:rsidRPr="00761F1A">
        <w:rPr>
          <w:rFonts w:ascii="Arial" w:eastAsia="Times New Roman" w:hAnsi="Arial" w:cs="Arial"/>
          <w:color w:val="000000"/>
          <w:sz w:val="18"/>
          <w:szCs w:val="18"/>
          <w:lang w:val="en-US" w:eastAsia="fr-FR"/>
        </w:rPr>
        <w:t xml:space="preserve"> regard to the written procedure and further to the hearing on 29 November 2016,</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lastRenderedPageBreak/>
        <w:t>after</w:t>
      </w:r>
      <w:proofErr w:type="gramEnd"/>
      <w:r w:rsidRPr="00761F1A">
        <w:rPr>
          <w:rFonts w:ascii="Arial" w:eastAsia="Times New Roman" w:hAnsi="Arial" w:cs="Arial"/>
          <w:color w:val="000000"/>
          <w:sz w:val="18"/>
          <w:szCs w:val="18"/>
          <w:lang w:val="en-US" w:eastAsia="fr-FR"/>
        </w:rPr>
        <w:t xml:space="preserve"> considering the observations submitted on behalf of:</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s-ES" w:eastAsia="fr-FR"/>
        </w:rPr>
      </w:pPr>
      <w:r w:rsidRPr="00761F1A">
        <w:rPr>
          <w:rFonts w:ascii="Arial" w:eastAsia="Times New Roman" w:hAnsi="Arial" w:cs="Arial"/>
          <w:color w:val="000000"/>
          <w:sz w:val="18"/>
          <w:szCs w:val="18"/>
          <w:lang w:val="es-ES" w:eastAsia="fr-FR"/>
        </w:rPr>
        <w:t>–        Asociación Profesional Elite Taxi, by M. Balagué Farré and D. Salmerón Porras, abogados, and J.A. López-Jurado González, procurador,</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Uber Systems Spain SL, by B. Le Bret and D. Calciu, avocats, R. Allendesalazar Corcho, J.J. Montero Pascual, C. Fernández Vicién and I. Moreno-Tapia Rivas, abogados,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Spanish Government, by M.A. Sampol Pucurull and A. Rubio González, acting as Agents,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Estonian Government, by N. Grünberg, acting as Agent,</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Ireland, by E. Creedon, L. Williams and A. Joyce, acting as Agents, and A. Carroll, Barrister,</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Greek Government, by M. Michelogiannaki, acting as Agent,</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French Government, by D. Colas, G. de Bergues and R. Coesme, acting as Agents,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Netherlands Government, by H. Stergiou and M. Bulterman, acting as Agents,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Polish Government, by B. Majczyna, acting as Agent,</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Finnish Government, by S. Hartikainen, acting as Agent,</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the European Commission, by É. Gippini Fournier, F. Wilman, J. Hottiaux and H. Tserepa-Lacombe, acting as Agents,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EFTA Surveillance Authority, by C. Zatschler, Ø. Bø and C. Perrin, acting as Agents,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after</w:t>
      </w:r>
      <w:proofErr w:type="gramEnd"/>
      <w:r w:rsidRPr="00761F1A">
        <w:rPr>
          <w:rFonts w:ascii="Arial" w:eastAsia="Times New Roman" w:hAnsi="Arial" w:cs="Arial"/>
          <w:color w:val="000000"/>
          <w:sz w:val="18"/>
          <w:szCs w:val="18"/>
          <w:lang w:val="en-US" w:eastAsia="fr-FR"/>
        </w:rPr>
        <w:t xml:space="preserve"> hearing the Opinion of the Advocate General at the sitting on 11 May 2017,</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gives</w:t>
      </w:r>
      <w:proofErr w:type="gramEnd"/>
      <w:r w:rsidRPr="00761F1A">
        <w:rPr>
          <w:rFonts w:ascii="Arial" w:eastAsia="Times New Roman" w:hAnsi="Arial" w:cs="Arial"/>
          <w:color w:val="000000"/>
          <w:sz w:val="18"/>
          <w:szCs w:val="18"/>
          <w:lang w:val="en-US" w:eastAsia="fr-FR"/>
        </w:rPr>
        <w:t xml:space="preserve"> the following</w:t>
      </w:r>
    </w:p>
    <w:p w:rsidR="00761F1A" w:rsidRPr="00761F1A" w:rsidRDefault="00761F1A" w:rsidP="00761F1A">
      <w:pPr>
        <w:spacing w:before="480" w:after="480" w:line="240" w:lineRule="auto"/>
        <w:jc w:val="center"/>
        <w:rPr>
          <w:rFonts w:ascii="Arial" w:eastAsia="Times New Roman" w:hAnsi="Arial" w:cs="Arial"/>
          <w:b/>
          <w:bCs/>
          <w:color w:val="000000"/>
          <w:sz w:val="18"/>
          <w:szCs w:val="18"/>
          <w:lang w:val="en-US" w:eastAsia="fr-FR"/>
        </w:rPr>
      </w:pPr>
      <w:r w:rsidRPr="00761F1A">
        <w:rPr>
          <w:rFonts w:ascii="Arial" w:eastAsia="Times New Roman" w:hAnsi="Arial" w:cs="Arial"/>
          <w:b/>
          <w:bCs/>
          <w:color w:val="000000"/>
          <w:sz w:val="18"/>
          <w:szCs w:val="18"/>
          <w:lang w:val="en-US" w:eastAsia="fr-FR"/>
        </w:rPr>
        <w:t>Judgment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1</w:t>
      </w:r>
      <w:r w:rsidRPr="00761F1A">
        <w:rPr>
          <w:rFonts w:ascii="Arial" w:eastAsia="Times New Roman" w:hAnsi="Arial" w:cs="Arial"/>
          <w:color w:val="000000"/>
          <w:sz w:val="18"/>
          <w:szCs w:val="18"/>
          <w:lang w:val="en-US" w:eastAsia="fr-FR"/>
        </w:rPr>
        <w:t>        This request for a preliminary ruling concerns the interpretation of Articles 56 TFEU, Article 1 of Directive 98/34/EC of the European Parliament and of the Council of 22 June 1998 laying down a procedure for the provision of information in the field of technical standards and regulations and of rules on Information Society services (OJ 1998 L 204, p. 37), as amended by Directive 98/48/EC of the European Parliament and of the Council of 20 July 1998 (OJ 1998 L 217, p. 18) (‘Directive 98/34’), Article 3 of Directive 2000/31/EC of the European Parliament and of the Council of 8 June 2000 on certain legal aspects of information society services, in particular electronic commerce, in the Internal Market (‘Directive on electronic commerce’) (OJ 2000 L 178, p. 1), and Articles 2 and 9 of Directive 2006/123/EC of the European Parliament and of the Council of 12 December 2006 on services in the internal market (OJ 2006 L 376, p. 36).</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2</w:t>
      </w:r>
      <w:r w:rsidRPr="00761F1A">
        <w:rPr>
          <w:rFonts w:ascii="Arial" w:eastAsia="Times New Roman" w:hAnsi="Arial" w:cs="Arial"/>
          <w:color w:val="000000"/>
          <w:sz w:val="18"/>
          <w:szCs w:val="18"/>
          <w:lang w:val="en-US" w:eastAsia="fr-FR"/>
        </w:rPr>
        <w:t>        The request has been made in proceedings between Asociación Profesional Elite Taxi (‘Elite Taxi’), a professional taxi drivers’ association in Barcelona (Spain), and Uber Systems Spain SL, a company related to Uber Technologies Inc., concerning the provision by the latter, by means of a smartphone application, of the paid service consisting of connecting non-professional drivers using their own vehicle with persons who wish to make urban journeys, without holding any administrative licence or authorisation.</w:t>
      </w:r>
      <w:proofErr w:type="gramEnd"/>
    </w:p>
    <w:p w:rsidR="00761F1A" w:rsidRPr="00761F1A" w:rsidRDefault="00761F1A" w:rsidP="00761F1A">
      <w:pPr>
        <w:spacing w:before="480" w:after="240" w:line="240" w:lineRule="auto"/>
        <w:jc w:val="both"/>
        <w:rPr>
          <w:rFonts w:ascii="Arial" w:eastAsia="Times New Roman" w:hAnsi="Arial" w:cs="Arial"/>
          <w:b/>
          <w:bCs/>
          <w:color w:val="000000"/>
          <w:sz w:val="18"/>
          <w:szCs w:val="18"/>
          <w:lang w:val="en-US" w:eastAsia="fr-FR"/>
        </w:rPr>
      </w:pPr>
      <w:r w:rsidRPr="00761F1A">
        <w:rPr>
          <w:rFonts w:ascii="Arial" w:eastAsia="Times New Roman" w:hAnsi="Arial" w:cs="Arial"/>
          <w:b/>
          <w:bCs/>
          <w:color w:val="000000"/>
          <w:sz w:val="18"/>
          <w:szCs w:val="18"/>
          <w:lang w:val="en-US" w:eastAsia="fr-FR"/>
        </w:rPr>
        <w:t> Legal context</w:t>
      </w:r>
    </w:p>
    <w:p w:rsidR="00761F1A" w:rsidRPr="00761F1A" w:rsidRDefault="00761F1A" w:rsidP="00761F1A">
      <w:pPr>
        <w:spacing w:after="240" w:line="240" w:lineRule="auto"/>
        <w:jc w:val="both"/>
        <w:rPr>
          <w:rFonts w:ascii="Arial" w:eastAsia="Times New Roman" w:hAnsi="Arial" w:cs="Arial"/>
          <w:i/>
          <w:iCs/>
          <w:color w:val="000000"/>
          <w:sz w:val="18"/>
          <w:szCs w:val="18"/>
          <w:lang w:val="en-US" w:eastAsia="fr-FR"/>
        </w:rPr>
      </w:pPr>
      <w:r w:rsidRPr="00761F1A">
        <w:rPr>
          <w:rFonts w:ascii="Arial" w:eastAsia="Times New Roman" w:hAnsi="Arial" w:cs="Arial"/>
          <w:i/>
          <w:iCs/>
          <w:color w:val="000000"/>
          <w:sz w:val="18"/>
          <w:szCs w:val="18"/>
          <w:lang w:val="en-US" w:eastAsia="fr-FR"/>
        </w:rPr>
        <w:t> </w:t>
      </w:r>
      <w:r w:rsidRPr="00761F1A">
        <w:rPr>
          <w:rFonts w:ascii="Arial" w:eastAsia="Times New Roman" w:hAnsi="Arial" w:cs="Arial"/>
          <w:b/>
          <w:bCs/>
          <w:i/>
          <w:iCs/>
          <w:color w:val="000000"/>
          <w:sz w:val="18"/>
          <w:szCs w:val="18"/>
          <w:lang w:val="en-US" w:eastAsia="fr-FR"/>
        </w:rPr>
        <w:t>EU law</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r w:rsidRPr="00761F1A">
        <w:rPr>
          <w:rFonts w:ascii="Arial" w:eastAsia="Times New Roman" w:hAnsi="Arial" w:cs="Arial"/>
          <w:i/>
          <w:iCs/>
          <w:color w:val="000000"/>
          <w:sz w:val="18"/>
          <w:szCs w:val="18"/>
          <w:lang w:val="en-US" w:eastAsia="fr-FR"/>
        </w:rPr>
        <w:t>Directive 98/34</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w:t>
      </w:r>
      <w:proofErr w:type="gramEnd"/>
      <w:r w:rsidRPr="00761F1A">
        <w:rPr>
          <w:rFonts w:ascii="Arial" w:eastAsia="Times New Roman" w:hAnsi="Arial" w:cs="Arial"/>
          <w:color w:val="000000"/>
          <w:sz w:val="18"/>
          <w:szCs w:val="18"/>
          <w:lang w:val="en-US" w:eastAsia="fr-FR"/>
        </w:rPr>
        <w:t>        Article 1(2) of Directive 98/34 provides: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lastRenderedPageBreak/>
        <w:t>‘For the purposes of this Directive, the following meanings shall apply:</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(2)      “</w:t>
      </w:r>
      <w:proofErr w:type="gramStart"/>
      <w:r w:rsidRPr="00761F1A">
        <w:rPr>
          <w:rFonts w:ascii="Arial" w:eastAsia="Times New Roman" w:hAnsi="Arial" w:cs="Arial"/>
          <w:color w:val="000000"/>
          <w:sz w:val="18"/>
          <w:szCs w:val="18"/>
          <w:lang w:val="en-US" w:eastAsia="fr-FR"/>
        </w:rPr>
        <w:t>service</w:t>
      </w:r>
      <w:proofErr w:type="gramEnd"/>
      <w:r w:rsidRPr="00761F1A">
        <w:rPr>
          <w:rFonts w:ascii="Arial" w:eastAsia="Times New Roman" w:hAnsi="Arial" w:cs="Arial"/>
          <w:color w:val="000000"/>
          <w:sz w:val="18"/>
          <w:szCs w:val="18"/>
          <w:lang w:val="en-US" w:eastAsia="fr-FR"/>
        </w:rPr>
        <w:t>”, any Information Society service, that is to say, any service normally provided for remuneration, at a distance, by electronic means and at the individual request of a recipient of services.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For the purposes of this definition:</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xml:space="preserve">–        “at a distance” means that the service </w:t>
      </w:r>
      <w:proofErr w:type="gramStart"/>
      <w:r w:rsidRPr="00761F1A">
        <w:rPr>
          <w:rFonts w:ascii="Arial" w:eastAsia="Times New Roman" w:hAnsi="Arial" w:cs="Arial"/>
          <w:color w:val="000000"/>
          <w:sz w:val="18"/>
          <w:szCs w:val="18"/>
          <w:lang w:val="en-US" w:eastAsia="fr-FR"/>
        </w:rPr>
        <w:t>is provided</w:t>
      </w:r>
      <w:proofErr w:type="gramEnd"/>
      <w:r w:rsidRPr="00761F1A">
        <w:rPr>
          <w:rFonts w:ascii="Arial" w:eastAsia="Times New Roman" w:hAnsi="Arial" w:cs="Arial"/>
          <w:color w:val="000000"/>
          <w:sz w:val="18"/>
          <w:szCs w:val="18"/>
          <w:lang w:val="en-US" w:eastAsia="fr-FR"/>
        </w:rPr>
        <w:t xml:space="preserve"> without the parties being simultaneously present,</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“by electronic means” means that the service is sent initially and received at its destination by means of electronic equipment for the processing (including digital compression) and storage of data, and entirely transmitted, conveyed and received by wire, by radio, by optical means or by other electromagnetic means,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xml:space="preserve">–        “at the individual request of a recipient of services” means that the service </w:t>
      </w:r>
      <w:proofErr w:type="gramStart"/>
      <w:r w:rsidRPr="00761F1A">
        <w:rPr>
          <w:rFonts w:ascii="Arial" w:eastAsia="Times New Roman" w:hAnsi="Arial" w:cs="Arial"/>
          <w:color w:val="000000"/>
          <w:sz w:val="18"/>
          <w:szCs w:val="18"/>
          <w:lang w:val="en-US" w:eastAsia="fr-FR"/>
        </w:rPr>
        <w:t>is provided</w:t>
      </w:r>
      <w:proofErr w:type="gramEnd"/>
      <w:r w:rsidRPr="00761F1A">
        <w:rPr>
          <w:rFonts w:ascii="Arial" w:eastAsia="Times New Roman" w:hAnsi="Arial" w:cs="Arial"/>
          <w:color w:val="000000"/>
          <w:sz w:val="18"/>
          <w:szCs w:val="18"/>
          <w:lang w:val="en-US" w:eastAsia="fr-FR"/>
        </w:rPr>
        <w:t xml:space="preserve"> through the transmission of data on individual request.</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An indicative list of services not covered by this definition is set out in Annex V.</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w:t>
      </w:r>
      <w:r w:rsidRPr="00761F1A">
        <w:rPr>
          <w:rFonts w:ascii="Arial" w:eastAsia="Times New Roman" w:hAnsi="Arial" w:cs="Arial"/>
          <w:color w:val="000000"/>
          <w:sz w:val="18"/>
          <w:szCs w:val="18"/>
          <w:lang w:val="en-US" w:eastAsia="fr-FR"/>
        </w:rPr>
        <w:t>        In accordance with Articles 10 and 11 of Directive (EU) 2015/1535 of the European Parliament and of the Council of 9 September 2015 laying down a procedure for the provision of information in the field of technical regulations and of rules on Information Society services (OJ 2015 L 241, p. 1), Directive 98/34 was repealed on 7 October 2015.</w:t>
      </w:r>
      <w:proofErr w:type="gramEnd"/>
      <w:r w:rsidRPr="00761F1A">
        <w:rPr>
          <w:rFonts w:ascii="Arial" w:eastAsia="Times New Roman" w:hAnsi="Arial" w:cs="Arial"/>
          <w:color w:val="000000"/>
          <w:sz w:val="18"/>
          <w:szCs w:val="18"/>
          <w:lang w:val="en-US" w:eastAsia="fr-FR"/>
        </w:rPr>
        <w:t xml:space="preserve"> Nevertheless, Directive 98/34 remains applicable </w:t>
      </w:r>
      <w:r w:rsidRPr="00761F1A">
        <w:rPr>
          <w:rFonts w:ascii="Arial" w:eastAsia="Times New Roman" w:hAnsi="Arial" w:cs="Arial"/>
          <w:i/>
          <w:iCs/>
          <w:color w:val="000000"/>
          <w:sz w:val="18"/>
          <w:szCs w:val="18"/>
          <w:lang w:val="en-US" w:eastAsia="fr-FR"/>
        </w:rPr>
        <w:t>ratione temporis</w:t>
      </w:r>
      <w:r w:rsidRPr="00761F1A">
        <w:rPr>
          <w:rFonts w:ascii="Arial" w:eastAsia="Times New Roman" w:hAnsi="Arial" w:cs="Arial"/>
          <w:color w:val="000000"/>
          <w:sz w:val="18"/>
          <w:szCs w:val="18"/>
          <w:lang w:val="en-US" w:eastAsia="fr-FR"/>
        </w:rPr>
        <w:t> to the dispute in the main proceedings.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r w:rsidRPr="00761F1A">
        <w:rPr>
          <w:rFonts w:ascii="Arial" w:eastAsia="Times New Roman" w:hAnsi="Arial" w:cs="Arial"/>
          <w:i/>
          <w:iCs/>
          <w:color w:val="000000"/>
          <w:sz w:val="18"/>
          <w:szCs w:val="18"/>
          <w:lang w:val="en-US" w:eastAsia="fr-FR"/>
        </w:rPr>
        <w:t>Directive 2000/31</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5</w:t>
      </w:r>
      <w:r w:rsidRPr="00761F1A">
        <w:rPr>
          <w:rFonts w:ascii="Arial" w:eastAsia="Times New Roman" w:hAnsi="Arial" w:cs="Arial"/>
          <w:color w:val="000000"/>
          <w:sz w:val="18"/>
          <w:szCs w:val="18"/>
          <w:lang w:val="en-US" w:eastAsia="fr-FR"/>
        </w:rPr>
        <w:t>        Article 2(a) of Directive 2000/31 provides that, for the purposes of the directive, ‘information society services’ means services within the meaning of Article 1(2) of Directive 98/34.</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6</w:t>
      </w:r>
      <w:r w:rsidRPr="00761F1A">
        <w:rPr>
          <w:rFonts w:ascii="Arial" w:eastAsia="Times New Roman" w:hAnsi="Arial" w:cs="Arial"/>
          <w:color w:val="000000"/>
          <w:sz w:val="18"/>
          <w:szCs w:val="18"/>
          <w:lang w:val="en-US" w:eastAsia="fr-FR"/>
        </w:rPr>
        <w:t>        Article 3(2) and (4) of Directive 2000/31 states: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‘2.      Member States may not, for reasons falling within the coordinated field, restrict the freedom to provide information society services from another Member State.</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xml:space="preserve">4.      Member States may take measures to derogate from paragraph 2 in respect of a given information society service if the following conditions </w:t>
      </w:r>
      <w:proofErr w:type="gramStart"/>
      <w:r w:rsidRPr="00761F1A">
        <w:rPr>
          <w:rFonts w:ascii="Arial" w:eastAsia="Times New Roman" w:hAnsi="Arial" w:cs="Arial"/>
          <w:color w:val="000000"/>
          <w:sz w:val="18"/>
          <w:szCs w:val="18"/>
          <w:lang w:val="en-US" w:eastAsia="fr-FR"/>
        </w:rPr>
        <w:t>are fulfilled</w:t>
      </w:r>
      <w:proofErr w:type="gramEnd"/>
      <w:r w:rsidRPr="00761F1A">
        <w:rPr>
          <w:rFonts w:ascii="Arial" w:eastAsia="Times New Roman" w:hAnsi="Arial" w:cs="Arial"/>
          <w:color w:val="000000"/>
          <w:sz w:val="18"/>
          <w:szCs w:val="18"/>
          <w:lang w:val="en-US" w:eastAsia="fr-FR"/>
        </w:rPr>
        <w:t>:</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(a)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measures shall be:</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(i)      </w:t>
      </w:r>
      <w:proofErr w:type="gramStart"/>
      <w:r w:rsidRPr="00761F1A">
        <w:rPr>
          <w:rFonts w:ascii="Arial" w:eastAsia="Times New Roman" w:hAnsi="Arial" w:cs="Arial"/>
          <w:color w:val="000000"/>
          <w:sz w:val="18"/>
          <w:szCs w:val="18"/>
          <w:lang w:val="en-US" w:eastAsia="fr-FR"/>
        </w:rPr>
        <w:t>necessary</w:t>
      </w:r>
      <w:proofErr w:type="gramEnd"/>
      <w:r w:rsidRPr="00761F1A">
        <w:rPr>
          <w:rFonts w:ascii="Arial" w:eastAsia="Times New Roman" w:hAnsi="Arial" w:cs="Arial"/>
          <w:color w:val="000000"/>
          <w:sz w:val="18"/>
          <w:szCs w:val="18"/>
          <w:lang w:val="en-US" w:eastAsia="fr-FR"/>
        </w:rPr>
        <w:t xml:space="preserve"> for one of the following reasons: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public policy, in particular the prevention, investigation, detection and prosecution of criminal offences, including the protection of minors and the fight against any incitement to hatred on grounds of race, sex, religion or nationality, and violations of human dignity concerning individual persons,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protection of public health,</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public</w:t>
      </w:r>
      <w:proofErr w:type="gramEnd"/>
      <w:r w:rsidRPr="00761F1A">
        <w:rPr>
          <w:rFonts w:ascii="Arial" w:eastAsia="Times New Roman" w:hAnsi="Arial" w:cs="Arial"/>
          <w:color w:val="000000"/>
          <w:sz w:val="18"/>
          <w:szCs w:val="18"/>
          <w:lang w:val="en-US" w:eastAsia="fr-FR"/>
        </w:rPr>
        <w:t xml:space="preserve"> security, including the safeguarding of national security and defence,</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protection of consumers, including investors;</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(ii)      taken against a given information society service which prejudices the objectives referred to in point (i) or which presents a serious and grave risk of prejudice to those objectives;</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(iii)      </w:t>
      </w:r>
      <w:proofErr w:type="gramStart"/>
      <w:r w:rsidRPr="00761F1A">
        <w:rPr>
          <w:rFonts w:ascii="Arial" w:eastAsia="Times New Roman" w:hAnsi="Arial" w:cs="Arial"/>
          <w:color w:val="000000"/>
          <w:sz w:val="18"/>
          <w:szCs w:val="18"/>
          <w:lang w:val="en-US" w:eastAsia="fr-FR"/>
        </w:rPr>
        <w:t>proportionate</w:t>
      </w:r>
      <w:proofErr w:type="gramEnd"/>
      <w:r w:rsidRPr="00761F1A">
        <w:rPr>
          <w:rFonts w:ascii="Arial" w:eastAsia="Times New Roman" w:hAnsi="Arial" w:cs="Arial"/>
          <w:color w:val="000000"/>
          <w:sz w:val="18"/>
          <w:szCs w:val="18"/>
          <w:lang w:val="en-US" w:eastAsia="fr-FR"/>
        </w:rPr>
        <w:t xml:space="preserve"> to those objectives;</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lastRenderedPageBreak/>
        <w:t>(b)      </w:t>
      </w:r>
      <w:proofErr w:type="gramStart"/>
      <w:r w:rsidRPr="00761F1A">
        <w:rPr>
          <w:rFonts w:ascii="Arial" w:eastAsia="Times New Roman" w:hAnsi="Arial" w:cs="Arial"/>
          <w:color w:val="000000"/>
          <w:sz w:val="18"/>
          <w:szCs w:val="18"/>
          <w:lang w:val="en-US" w:eastAsia="fr-FR"/>
        </w:rPr>
        <w:t>before</w:t>
      </w:r>
      <w:proofErr w:type="gramEnd"/>
      <w:r w:rsidRPr="00761F1A">
        <w:rPr>
          <w:rFonts w:ascii="Arial" w:eastAsia="Times New Roman" w:hAnsi="Arial" w:cs="Arial"/>
          <w:color w:val="000000"/>
          <w:sz w:val="18"/>
          <w:szCs w:val="18"/>
          <w:lang w:val="en-US" w:eastAsia="fr-FR"/>
        </w:rPr>
        <w:t xml:space="preserve"> taking the measures in question and without prejudice to court proceedings, including preliminary proceedings and acts carried out in the framework of a criminal investigation, the Member State has:</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asked the Member State referred to in paragraph 1 to take measures and the latter did not take such measures, or they were inadequate,</w:t>
      </w:r>
    </w:p>
    <w:p w:rsidR="00761F1A" w:rsidRPr="00761F1A" w:rsidRDefault="00761F1A"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notified the Commission and the Member State referred to in paragraph 1 of its intention to take such measures.’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w:t>
      </w:r>
      <w:r w:rsidRPr="00761F1A">
        <w:rPr>
          <w:rFonts w:ascii="Arial" w:eastAsia="Times New Roman" w:hAnsi="Arial" w:cs="Arial"/>
          <w:i/>
          <w:iCs/>
          <w:color w:val="000000"/>
          <w:sz w:val="18"/>
          <w:szCs w:val="18"/>
          <w:lang w:val="en-US" w:eastAsia="fr-FR"/>
        </w:rPr>
        <w:t>Directive 2006/123</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7</w:t>
      </w:r>
      <w:r w:rsidRPr="00761F1A">
        <w:rPr>
          <w:rFonts w:ascii="Arial" w:eastAsia="Times New Roman" w:hAnsi="Arial" w:cs="Arial"/>
          <w:color w:val="000000"/>
          <w:sz w:val="18"/>
          <w:szCs w:val="18"/>
          <w:lang w:val="en-US" w:eastAsia="fr-FR"/>
        </w:rPr>
        <w:t>        According to recital 21 of Directive 2006/123, ‘transport services, including urban transport, taxis and ambulances as well as port services, should be excluded from the scope of this Directive’.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8</w:t>
      </w:r>
      <w:r w:rsidRPr="00761F1A">
        <w:rPr>
          <w:rFonts w:ascii="Arial" w:eastAsia="Times New Roman" w:hAnsi="Arial" w:cs="Arial"/>
          <w:color w:val="000000"/>
          <w:sz w:val="18"/>
          <w:szCs w:val="18"/>
          <w:lang w:val="en-US" w:eastAsia="fr-FR"/>
        </w:rPr>
        <w:t>        Article 2(2)(d) of Directive 2006/123 provides that the directive does not apply to services in the field of transport, including port services, falling within the scope of Title V of Part Three of the EC Treaty, which is now Title VI of Part Three of the FEU Treaty.</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9</w:t>
      </w:r>
      <w:proofErr w:type="gramEnd"/>
      <w:r w:rsidRPr="00761F1A">
        <w:rPr>
          <w:rFonts w:ascii="Arial" w:eastAsia="Times New Roman" w:hAnsi="Arial" w:cs="Arial"/>
          <w:color w:val="000000"/>
          <w:sz w:val="18"/>
          <w:szCs w:val="18"/>
          <w:lang w:val="en-US" w:eastAsia="fr-FR"/>
        </w:rPr>
        <w:t>        Under Article 9(1) of Directive 2006/123, which falls under Chapter III thereof, headed ‘Freedom of establishment for providers’:</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‘Member States shall not make access to a service activity or the exercise thereof subject to an authorisation scheme unless the following conditions are satisfied:</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(a)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authorisation scheme does not discriminate against the provider in question;</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(b)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need for an authorisation scheme is justified by an overriding reason relating to the public interest;</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(c)      </w:t>
      </w:r>
      <w:proofErr w:type="gramStart"/>
      <w:r w:rsidRPr="00761F1A">
        <w:rPr>
          <w:rFonts w:ascii="Arial" w:eastAsia="Times New Roman" w:hAnsi="Arial" w:cs="Arial"/>
          <w:color w:val="000000"/>
          <w:sz w:val="18"/>
          <w:szCs w:val="18"/>
          <w:lang w:val="en-US" w:eastAsia="fr-FR"/>
        </w:rPr>
        <w:t>the</w:t>
      </w:r>
      <w:proofErr w:type="gramEnd"/>
      <w:r w:rsidRPr="00761F1A">
        <w:rPr>
          <w:rFonts w:ascii="Arial" w:eastAsia="Times New Roman" w:hAnsi="Arial" w:cs="Arial"/>
          <w:color w:val="000000"/>
          <w:sz w:val="18"/>
          <w:szCs w:val="18"/>
          <w:lang w:val="en-US" w:eastAsia="fr-FR"/>
        </w:rPr>
        <w:t xml:space="preserve"> objective pursued cannot be attained by means of a less restrictive measure, in particular because an a posteriori inspection would take place too late to be genuinely effective.’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10</w:t>
      </w:r>
      <w:r w:rsidRPr="00761F1A">
        <w:rPr>
          <w:rFonts w:ascii="Arial" w:eastAsia="Times New Roman" w:hAnsi="Arial" w:cs="Arial"/>
          <w:color w:val="000000"/>
          <w:sz w:val="18"/>
          <w:szCs w:val="18"/>
          <w:lang w:val="en-US" w:eastAsia="fr-FR"/>
        </w:rPr>
        <w:t>      Under Chapter IV of the directive, headed ‘Free movement of services’, Article 16 lays down the procedures enabling service providers to provide services in a Member State other than that in which they are established.</w:t>
      </w:r>
    </w:p>
    <w:p w:rsidR="00761F1A" w:rsidRPr="00761F1A" w:rsidRDefault="00761F1A" w:rsidP="00761F1A">
      <w:pPr>
        <w:spacing w:after="240" w:line="240" w:lineRule="auto"/>
        <w:jc w:val="both"/>
        <w:rPr>
          <w:rFonts w:ascii="Arial" w:eastAsia="Times New Roman" w:hAnsi="Arial" w:cs="Arial"/>
          <w:i/>
          <w:iCs/>
          <w:color w:val="000000"/>
          <w:sz w:val="18"/>
          <w:szCs w:val="18"/>
          <w:lang w:val="en-US" w:eastAsia="fr-FR"/>
        </w:rPr>
      </w:pPr>
      <w:r w:rsidRPr="00761F1A">
        <w:rPr>
          <w:rFonts w:ascii="Arial" w:eastAsia="Times New Roman" w:hAnsi="Arial" w:cs="Arial"/>
          <w:i/>
          <w:iCs/>
          <w:color w:val="000000"/>
          <w:sz w:val="18"/>
          <w:szCs w:val="18"/>
          <w:lang w:val="en-US" w:eastAsia="fr-FR"/>
        </w:rPr>
        <w:t> </w:t>
      </w:r>
      <w:r w:rsidRPr="00761F1A">
        <w:rPr>
          <w:rFonts w:ascii="Arial" w:eastAsia="Times New Roman" w:hAnsi="Arial" w:cs="Arial"/>
          <w:b/>
          <w:bCs/>
          <w:i/>
          <w:iCs/>
          <w:color w:val="000000"/>
          <w:sz w:val="18"/>
          <w:szCs w:val="18"/>
          <w:lang w:val="en-US" w:eastAsia="fr-FR"/>
        </w:rPr>
        <w:t>Spanish law</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11</w:t>
      </w:r>
      <w:r w:rsidRPr="00761F1A">
        <w:rPr>
          <w:rFonts w:ascii="Arial" w:eastAsia="Times New Roman" w:hAnsi="Arial" w:cs="Arial"/>
          <w:color w:val="000000"/>
          <w:sz w:val="18"/>
          <w:szCs w:val="18"/>
          <w:lang w:val="en-US" w:eastAsia="fr-FR"/>
        </w:rPr>
        <w:t>      In the metropolitan area of Barcelona, taxi services are governed by Ley 19/2003 del Taxi (Law No 19/2003 on taxi services) of 4 July 2003 (DOGC No 3926 of 16 July 2003 and BOE No 189 of 8 August 2003) and by Reglamento Metropolitano del Taxi (Regulation on taxi services in the metropolitan area of Barcelona) of 22 July 2004 adopted by the Consell Metropolitá of the Entitat Metropolitana de Transport de Barcelona (Governing Board of the Transport management body for the metropolitan area of Barcelona, Spain).</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12</w:t>
      </w:r>
      <w:proofErr w:type="gramEnd"/>
      <w:r w:rsidRPr="00761F1A">
        <w:rPr>
          <w:rFonts w:ascii="Arial" w:eastAsia="Times New Roman" w:hAnsi="Arial" w:cs="Arial"/>
          <w:color w:val="000000"/>
          <w:sz w:val="18"/>
          <w:szCs w:val="18"/>
          <w:lang w:val="en-US" w:eastAsia="fr-FR"/>
        </w:rPr>
        <w:t>      Under Article 4 of that law:</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‘1.      The provision of urban taxi services is subject to the prior grant of a licence entitling the licence holder for each vehicle intended to carry out that activity.</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 xml:space="preserve">2.      Licences for the provision of urban taxi services are issued by the town halls or the competent local authorities in the territory where the activity </w:t>
      </w:r>
      <w:proofErr w:type="gramStart"/>
      <w:r w:rsidRPr="00761F1A">
        <w:rPr>
          <w:rFonts w:ascii="Arial" w:eastAsia="Times New Roman" w:hAnsi="Arial" w:cs="Arial"/>
          <w:color w:val="000000"/>
          <w:sz w:val="18"/>
          <w:szCs w:val="18"/>
          <w:lang w:val="en-US" w:eastAsia="fr-FR"/>
        </w:rPr>
        <w:t>shall be carried out</w:t>
      </w:r>
      <w:proofErr w:type="gramEnd"/>
      <w:r w:rsidRPr="00761F1A">
        <w:rPr>
          <w:rFonts w:ascii="Arial" w:eastAsia="Times New Roman" w:hAnsi="Arial" w:cs="Arial"/>
          <w:color w:val="000000"/>
          <w:sz w:val="18"/>
          <w:szCs w:val="18"/>
          <w:lang w:val="en-US" w:eastAsia="fr-FR"/>
        </w:rPr>
        <w:t>.</w:t>
      </w:r>
    </w:p>
    <w:p w:rsidR="00761F1A" w:rsidRPr="00761F1A" w:rsidRDefault="00761F1A" w:rsidP="00761F1A">
      <w:pPr>
        <w:spacing w:after="240" w:line="240" w:lineRule="auto"/>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3.      The provision of interurban taxi services is subject to the prior grant of the corresponding authorisation issued by the ministry of transport of the regional government.’</w:t>
      </w:r>
    </w:p>
    <w:p w:rsidR="00761F1A" w:rsidRPr="00761F1A" w:rsidRDefault="00761F1A" w:rsidP="00761F1A">
      <w:pPr>
        <w:spacing w:before="480" w:after="240" w:line="240" w:lineRule="auto"/>
        <w:jc w:val="both"/>
        <w:rPr>
          <w:rFonts w:ascii="Arial" w:eastAsia="Times New Roman" w:hAnsi="Arial" w:cs="Arial"/>
          <w:b/>
          <w:bCs/>
          <w:color w:val="000000"/>
          <w:sz w:val="18"/>
          <w:szCs w:val="18"/>
          <w:lang w:val="en-US" w:eastAsia="fr-FR"/>
        </w:rPr>
      </w:pPr>
      <w:r w:rsidRPr="00761F1A">
        <w:rPr>
          <w:rFonts w:ascii="Arial" w:eastAsia="Times New Roman" w:hAnsi="Arial" w:cs="Arial"/>
          <w:b/>
          <w:bCs/>
          <w:color w:val="000000"/>
          <w:sz w:val="18"/>
          <w:szCs w:val="18"/>
          <w:lang w:val="en-US" w:eastAsia="fr-FR"/>
        </w:rPr>
        <w:t> The dispute in the main proceedings and the questions referred for a preliminary ruling</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13</w:t>
      </w:r>
      <w:r w:rsidRPr="00761F1A">
        <w:rPr>
          <w:rFonts w:ascii="Arial" w:eastAsia="Times New Roman" w:hAnsi="Arial" w:cs="Arial"/>
          <w:color w:val="000000"/>
          <w:sz w:val="18"/>
          <w:szCs w:val="18"/>
          <w:lang w:val="en-US" w:eastAsia="fr-FR"/>
        </w:rPr>
        <w:t>      On 29 October 2014, Elite Taxi brought an action before the Juzgado de lo Mercantil No 3 de Barcelona (Commercial Court No 3, Barcelona, Spain) seeking a declaration from that court that the activities of Uber Systems Spain infringe the legislation in force and amount to misleading practices and acts of unfair competition within the meaning of Ley 3/1991 de Competencia Desleal (Law No 3/1991 on unfair competition) of 10 January 1991.</w:t>
      </w:r>
      <w:proofErr w:type="gramEnd"/>
      <w:r w:rsidRPr="00761F1A">
        <w:rPr>
          <w:rFonts w:ascii="Arial" w:eastAsia="Times New Roman" w:hAnsi="Arial" w:cs="Arial"/>
          <w:color w:val="000000"/>
          <w:sz w:val="18"/>
          <w:szCs w:val="18"/>
          <w:lang w:val="en-US" w:eastAsia="fr-FR"/>
        </w:rPr>
        <w:t xml:space="preserve"> Elite Taxi also claims that Uber Systems Spain </w:t>
      </w:r>
      <w:proofErr w:type="gramStart"/>
      <w:r w:rsidRPr="00761F1A">
        <w:rPr>
          <w:rFonts w:ascii="Arial" w:eastAsia="Times New Roman" w:hAnsi="Arial" w:cs="Arial"/>
          <w:color w:val="000000"/>
          <w:sz w:val="18"/>
          <w:szCs w:val="18"/>
          <w:lang w:val="en-US" w:eastAsia="fr-FR"/>
        </w:rPr>
        <w:t>should be ordered</w:t>
      </w:r>
      <w:proofErr w:type="gramEnd"/>
      <w:r w:rsidRPr="00761F1A">
        <w:rPr>
          <w:rFonts w:ascii="Arial" w:eastAsia="Times New Roman" w:hAnsi="Arial" w:cs="Arial"/>
          <w:color w:val="000000"/>
          <w:sz w:val="18"/>
          <w:szCs w:val="18"/>
          <w:lang w:val="en-US" w:eastAsia="fr-FR"/>
        </w:rPr>
        <w:t xml:space="preserve"> to cease its unfair conduct consisting of supporting other companies in the group by providing on-demand booking services by means of mobile devices and the </w:t>
      </w:r>
      <w:r w:rsidRPr="00761F1A">
        <w:rPr>
          <w:rFonts w:ascii="Arial" w:eastAsia="Times New Roman" w:hAnsi="Arial" w:cs="Arial"/>
          <w:color w:val="000000"/>
          <w:sz w:val="18"/>
          <w:szCs w:val="18"/>
          <w:lang w:val="en-US" w:eastAsia="fr-FR"/>
        </w:rPr>
        <w:lastRenderedPageBreak/>
        <w:t>internet. Lastly, it claims that the court should prohibit Uber Systems Spain from engaging in such activity in the future.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14</w:t>
      </w:r>
      <w:r w:rsidRPr="00761F1A">
        <w:rPr>
          <w:rFonts w:ascii="Arial" w:eastAsia="Times New Roman" w:hAnsi="Arial" w:cs="Arial"/>
          <w:color w:val="000000"/>
          <w:sz w:val="18"/>
          <w:szCs w:val="18"/>
          <w:lang w:val="en-US" w:eastAsia="fr-FR"/>
        </w:rPr>
        <w:t>      The Juzgado de lo Mercantil No 3 de Barcelona (Commercial Court No 3, Barcelona) noted at the outset that although Uber Systems Spain carries out its activity in Spain, that activity is linked to an international platform, thus justifying the assessment at EU level of the actions of that company. It also observed that neither Uber Systems Spain nor the non-professional drivers of the vehicles concerned have the licences and authorisations required under the Regulation on taxi services in the metropolitan area of Barcelona of 22 July 2004.</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15</w:t>
      </w:r>
      <w:r w:rsidRPr="00761F1A">
        <w:rPr>
          <w:rFonts w:ascii="Arial" w:eastAsia="Times New Roman" w:hAnsi="Arial" w:cs="Arial"/>
          <w:color w:val="000000"/>
          <w:sz w:val="18"/>
          <w:szCs w:val="18"/>
          <w:lang w:val="en-US" w:eastAsia="fr-FR"/>
        </w:rPr>
        <w:t xml:space="preserve">      In order to determine whether the practices of Uber Systems Spain and related companies (together, ‘Uber’) can be classified as unfair practices that infringe the Spanish rules on competition, the Juzgado de lo Mercantil No 3 de Barcelona (Commercial Court No 3, Barcelona) considers it necessary to ascertain whether or not Uber requires prior administrative authorisation. To that end, the court considers that it should be determined whether the services provided by that company are to </w:t>
      </w:r>
      <w:proofErr w:type="gramStart"/>
      <w:r w:rsidRPr="00761F1A">
        <w:rPr>
          <w:rFonts w:ascii="Arial" w:eastAsia="Times New Roman" w:hAnsi="Arial" w:cs="Arial"/>
          <w:color w:val="000000"/>
          <w:sz w:val="18"/>
          <w:szCs w:val="18"/>
          <w:lang w:val="en-US" w:eastAsia="fr-FR"/>
        </w:rPr>
        <w:t>be regarded</w:t>
      </w:r>
      <w:proofErr w:type="gramEnd"/>
      <w:r w:rsidRPr="00761F1A">
        <w:rPr>
          <w:rFonts w:ascii="Arial" w:eastAsia="Times New Roman" w:hAnsi="Arial" w:cs="Arial"/>
          <w:color w:val="000000"/>
          <w:sz w:val="18"/>
          <w:szCs w:val="18"/>
          <w:lang w:val="en-US" w:eastAsia="fr-FR"/>
        </w:rPr>
        <w:t xml:space="preserve"> as transport services, information society services or a combination of both. According to the court, whether or not prior administrative authorisation may be required depends on the classification adopted. In particular, the referring court takes the view that if </w:t>
      </w:r>
      <w:proofErr w:type="gramStart"/>
      <w:r w:rsidRPr="00761F1A">
        <w:rPr>
          <w:rFonts w:ascii="Arial" w:eastAsia="Times New Roman" w:hAnsi="Arial" w:cs="Arial"/>
          <w:color w:val="000000"/>
          <w:sz w:val="18"/>
          <w:szCs w:val="18"/>
          <w:lang w:val="en-US" w:eastAsia="fr-FR"/>
        </w:rPr>
        <w:t>the service at issue were covered by Directive 2006/123 or Directive 98/34</w:t>
      </w:r>
      <w:proofErr w:type="gramEnd"/>
      <w:r w:rsidRPr="00761F1A">
        <w:rPr>
          <w:rFonts w:ascii="Arial" w:eastAsia="Times New Roman" w:hAnsi="Arial" w:cs="Arial"/>
          <w:color w:val="000000"/>
          <w:sz w:val="18"/>
          <w:szCs w:val="18"/>
          <w:lang w:val="en-US" w:eastAsia="fr-FR"/>
        </w:rPr>
        <w:t>, Uber’s practices could not be regarded as unfair practices.</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16</w:t>
      </w:r>
      <w:r w:rsidRPr="00761F1A">
        <w:rPr>
          <w:rFonts w:ascii="Arial" w:eastAsia="Times New Roman" w:hAnsi="Arial" w:cs="Arial"/>
          <w:color w:val="000000"/>
          <w:sz w:val="18"/>
          <w:szCs w:val="18"/>
          <w:lang w:val="en-US" w:eastAsia="fr-FR"/>
        </w:rPr>
        <w:t>      To that end, the referring court states that Uber contacts or connects with non-professional drivers to whom it provides a number of software tools — an interface — which enables them, in turn, to connect with persons who wish to make urban journeys and who gain access to the service through the eponymous software application. According to the court, Uber’s activity is for profit.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17</w:t>
      </w:r>
      <w:r w:rsidRPr="00761F1A">
        <w:rPr>
          <w:rFonts w:ascii="Arial" w:eastAsia="Times New Roman" w:hAnsi="Arial" w:cs="Arial"/>
          <w:color w:val="000000"/>
          <w:sz w:val="18"/>
          <w:szCs w:val="18"/>
          <w:lang w:val="en-US" w:eastAsia="fr-FR"/>
        </w:rPr>
        <w:t>      The referring court also states that the request for a preliminary ruling in no way concerns those factual elements but solely the legal classification of the service at issue.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18</w:t>
      </w:r>
      <w:r w:rsidRPr="00761F1A">
        <w:rPr>
          <w:rFonts w:ascii="Arial" w:eastAsia="Times New Roman" w:hAnsi="Arial" w:cs="Arial"/>
          <w:color w:val="000000"/>
          <w:sz w:val="18"/>
          <w:szCs w:val="18"/>
          <w:lang w:val="en-US" w:eastAsia="fr-FR"/>
        </w:rPr>
        <w:t>      Consequently, the Juzgado de lo Mercantil No 3 de Barcelona (Commercial Court No 3, Barcelona) decided to stay the proceedings and to refer the following questions to the Court of Justice for a preliminary ruling:</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‘(1)      Inasmuch as Article 2(2)(d) of [Directive 2006/123] excludes transport activities from the scope of that directive, must the activity carried out for profit by [Uber Systems Spain], consisting of acting as an intermediary between the owner of a vehicle and a person who needs to make a journey within a city, by managing the IT resources — in the words of [Uber Systems Spain], “smartphone and technological platform” interface and software application — which enable them to connect with one another, be considered to be merely a transport service or must it be considered to be an electronic intermediary service or an information society service, as defined by Article 1(2) of [Directive 98/34]?</w:t>
      </w:r>
      <w:proofErr w:type="gramEnd"/>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(2)      Within the identification of the legal nature of that activity, can it be considered to be … in part an information society service, and, if so, ought the electronic intermediary service to benefit from the principle of freedom to provide services as guaranteed in [EU] legislation — Article 56 TFEU and Directives [2006/123] and … [2000/31]?</w:t>
      </w:r>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(3)      If the service provided by [Uber Systems Spain] were not to be considered to be a transport service and were therefore considered to fall within the cases covered by Directive 2006/123, is Article 15 of Law [No 3/1991] on unfair competition [of 10 January 1991] — concerning the infringement of rules governing competitive activity — contrary to Directive 2006/123, specifically Article 9 on freedom of establishment and authorisation schemes, when the reference to national laws or to legal provisions is made without taking into account the fact that the scheme for obtaining licences, authorisations and permits may not be in any way restrictive or disproportionate, that is, it may not unreasonably impede the principle of freedom of establishment?</w:t>
      </w:r>
      <w:proofErr w:type="gramEnd"/>
    </w:p>
    <w:p w:rsidR="00761F1A" w:rsidRPr="00761F1A" w:rsidRDefault="00761F1A" w:rsidP="00761F1A">
      <w:pPr>
        <w:spacing w:after="240" w:line="240" w:lineRule="auto"/>
        <w:ind w:hanging="567"/>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0000"/>
          <w:sz w:val="18"/>
          <w:szCs w:val="18"/>
          <w:lang w:val="en-US" w:eastAsia="fr-FR"/>
        </w:rPr>
        <w:t>(4)      If it is confirmed that Directive [2000/31] is applicable to the service provided by [Uber Systems Spain], are restrictions in one Member State regarding the freedom to provide the electronic intermediary service from another Member State, in the form of making the service subject to an authorisation or a licence, or in the form of an injunction prohibiting provision of the electronic intermediary service based on the application of the national legislation on unfair competition, valid measures that constitute derogations from Article 3(2) of Directive [2000/31] in accordance with Article 3(4) thereof?’</w:t>
      </w:r>
      <w:proofErr w:type="gramEnd"/>
    </w:p>
    <w:p w:rsidR="00761F1A" w:rsidRPr="00761F1A" w:rsidRDefault="00761F1A" w:rsidP="00761F1A">
      <w:pPr>
        <w:spacing w:before="480" w:after="240" w:line="240" w:lineRule="auto"/>
        <w:jc w:val="both"/>
        <w:rPr>
          <w:rFonts w:ascii="Arial" w:eastAsia="Times New Roman" w:hAnsi="Arial" w:cs="Arial"/>
          <w:b/>
          <w:bCs/>
          <w:color w:val="000000"/>
          <w:sz w:val="18"/>
          <w:szCs w:val="18"/>
          <w:lang w:val="en-US" w:eastAsia="fr-FR"/>
        </w:rPr>
      </w:pPr>
      <w:r w:rsidRPr="00761F1A">
        <w:rPr>
          <w:rFonts w:ascii="Arial" w:eastAsia="Times New Roman" w:hAnsi="Arial" w:cs="Arial"/>
          <w:b/>
          <w:bCs/>
          <w:color w:val="000000"/>
          <w:sz w:val="18"/>
          <w:szCs w:val="18"/>
          <w:lang w:val="en-US" w:eastAsia="fr-FR"/>
        </w:rPr>
        <w:t> The jurisdiction of the Court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19</w:t>
      </w:r>
      <w:r w:rsidRPr="00761F1A">
        <w:rPr>
          <w:rFonts w:ascii="Arial" w:eastAsia="Times New Roman" w:hAnsi="Arial" w:cs="Arial"/>
          <w:color w:val="000000"/>
          <w:sz w:val="18"/>
          <w:szCs w:val="18"/>
          <w:lang w:val="en-US" w:eastAsia="fr-FR"/>
        </w:rPr>
        <w:t>      Elite Taxi claims that the legal classification of the service provided by Uber does not fall within the Court’s jurisdiction because that classification requires a decision on issues of fact. In those circumstances, according to Elite Taxi, the Court has no jurisdiction to answer the questions referred.</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lastRenderedPageBreak/>
        <w:t>20</w:t>
      </w:r>
      <w:r w:rsidRPr="00761F1A">
        <w:rPr>
          <w:rFonts w:ascii="Arial" w:eastAsia="Times New Roman" w:hAnsi="Arial" w:cs="Arial"/>
          <w:color w:val="000000"/>
          <w:sz w:val="18"/>
          <w:szCs w:val="18"/>
          <w:lang w:val="en-US" w:eastAsia="fr-FR"/>
        </w:rPr>
        <w:t>      In that regard, it should be recalled that the referring court has clearly stated, as is apparent from paragraph 17 above, that its questions concern solely the legal classification of the service at issue and not a finding or assessment of the facts of the dispute in the main proceedings. The classification under EU law of facts established by that court involves, however, the interpretation of EU law for which, in the context of the procedure laid down in Article 267 TFEU, the Court of Justice has jurisdiction (see, to that effect, judgment of 3 December 2015, </w:t>
      </w:r>
      <w:r w:rsidRPr="00761F1A">
        <w:rPr>
          <w:rFonts w:ascii="Arial" w:eastAsia="Times New Roman" w:hAnsi="Arial" w:cs="Arial"/>
          <w:i/>
          <w:iCs/>
          <w:color w:val="000000"/>
          <w:sz w:val="18"/>
          <w:szCs w:val="18"/>
          <w:lang w:val="en-US" w:eastAsia="fr-FR"/>
        </w:rPr>
        <w:t>Banif Plus Bank</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312/14, EU:C:2015:794, paragraphs 51 and 52).</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21</w:t>
      </w:r>
      <w:r w:rsidRPr="00761F1A">
        <w:rPr>
          <w:rFonts w:ascii="Arial" w:eastAsia="Times New Roman" w:hAnsi="Arial" w:cs="Arial"/>
          <w:color w:val="000000"/>
          <w:sz w:val="18"/>
          <w:szCs w:val="18"/>
          <w:lang w:val="en-US" w:eastAsia="fr-FR"/>
        </w:rPr>
        <w:t>      The Court therefore has jurisdiction to reply to the questions referred.</w:t>
      </w:r>
    </w:p>
    <w:p w:rsidR="00761F1A" w:rsidRPr="00761F1A" w:rsidRDefault="00761F1A" w:rsidP="00761F1A">
      <w:pPr>
        <w:spacing w:before="480" w:after="240" w:line="240" w:lineRule="auto"/>
        <w:jc w:val="both"/>
        <w:rPr>
          <w:rFonts w:ascii="Arial" w:eastAsia="Times New Roman" w:hAnsi="Arial" w:cs="Arial"/>
          <w:b/>
          <w:bCs/>
          <w:color w:val="000000"/>
          <w:sz w:val="18"/>
          <w:szCs w:val="18"/>
          <w:lang w:val="en-US" w:eastAsia="fr-FR"/>
        </w:rPr>
      </w:pPr>
      <w:r w:rsidRPr="00761F1A">
        <w:rPr>
          <w:rFonts w:ascii="Arial" w:eastAsia="Times New Roman" w:hAnsi="Arial" w:cs="Arial"/>
          <w:b/>
          <w:bCs/>
          <w:color w:val="000000"/>
          <w:sz w:val="18"/>
          <w:szCs w:val="18"/>
          <w:lang w:val="en-US" w:eastAsia="fr-FR"/>
        </w:rPr>
        <w:t> Consideration of the questions referred</w:t>
      </w:r>
    </w:p>
    <w:p w:rsidR="00761F1A" w:rsidRPr="00761F1A" w:rsidRDefault="00761F1A" w:rsidP="00761F1A">
      <w:pPr>
        <w:spacing w:after="240" w:line="240" w:lineRule="auto"/>
        <w:jc w:val="both"/>
        <w:rPr>
          <w:rFonts w:ascii="Arial" w:eastAsia="Times New Roman" w:hAnsi="Arial" w:cs="Arial"/>
          <w:i/>
          <w:iCs/>
          <w:color w:val="000000"/>
          <w:sz w:val="18"/>
          <w:szCs w:val="18"/>
          <w:lang w:val="en-US" w:eastAsia="fr-FR"/>
        </w:rPr>
      </w:pPr>
      <w:r w:rsidRPr="00761F1A">
        <w:rPr>
          <w:rFonts w:ascii="Arial" w:eastAsia="Times New Roman" w:hAnsi="Arial" w:cs="Arial"/>
          <w:i/>
          <w:iCs/>
          <w:color w:val="000000"/>
          <w:sz w:val="18"/>
          <w:szCs w:val="18"/>
          <w:lang w:val="en-US" w:eastAsia="fr-FR"/>
        </w:rPr>
        <w:t> </w:t>
      </w:r>
      <w:r w:rsidRPr="00761F1A">
        <w:rPr>
          <w:rFonts w:ascii="Arial" w:eastAsia="Times New Roman" w:hAnsi="Arial" w:cs="Arial"/>
          <w:b/>
          <w:bCs/>
          <w:i/>
          <w:iCs/>
          <w:color w:val="000000"/>
          <w:sz w:val="18"/>
          <w:szCs w:val="18"/>
          <w:lang w:val="en-US" w:eastAsia="fr-FR"/>
        </w:rPr>
        <w:t>Admissibility</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22</w:t>
      </w:r>
      <w:r w:rsidRPr="00761F1A">
        <w:rPr>
          <w:rFonts w:ascii="Arial" w:eastAsia="Times New Roman" w:hAnsi="Arial" w:cs="Arial"/>
          <w:color w:val="000000"/>
          <w:sz w:val="18"/>
          <w:szCs w:val="18"/>
          <w:lang w:val="en-US" w:eastAsia="fr-FR"/>
        </w:rPr>
        <w:t>      The Spanish, Greek, Netherlands, Polish and Finnish Governments, the European Commission and the EFTA Surveillance Authority note that the order for reference is insufficiently precise as regards both the applicable national legislation and the nature of the activities at issue in the main proceedings.</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23</w:t>
      </w:r>
      <w:r w:rsidRPr="00761F1A">
        <w:rPr>
          <w:rFonts w:ascii="Arial" w:eastAsia="Times New Roman" w:hAnsi="Arial" w:cs="Arial"/>
          <w:color w:val="000000"/>
          <w:sz w:val="18"/>
          <w:szCs w:val="18"/>
          <w:lang w:val="en-US" w:eastAsia="fr-FR"/>
        </w:rPr>
        <w:t>      In that regard, it should be recalled that the Court may refuse to give a ruling on a question referred by a national court only where it is quite obvious that the interpretation of EU law that is sought bears no relation to the actual facts of the main action or its purpose, where the problem is hypothetical, or where the Court does not have before it the factual or legal material necessary to enable it to give a useful answer to the questions submitted to it (judgment of 27 June 2017, </w:t>
      </w:r>
      <w:r w:rsidRPr="00761F1A">
        <w:rPr>
          <w:rFonts w:ascii="Arial" w:eastAsia="Times New Roman" w:hAnsi="Arial" w:cs="Arial"/>
          <w:i/>
          <w:iCs/>
          <w:color w:val="000000"/>
          <w:sz w:val="18"/>
          <w:szCs w:val="18"/>
          <w:lang w:val="en-US" w:eastAsia="fr-FR"/>
        </w:rPr>
        <w:t>Congregación de Escuelas Pías Provincia Betania</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74/16, EU:C:2017:496, paragraph 25).</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24</w:t>
      </w:r>
      <w:r w:rsidRPr="00761F1A">
        <w:rPr>
          <w:rFonts w:ascii="Arial" w:eastAsia="Times New Roman" w:hAnsi="Arial" w:cs="Arial"/>
          <w:color w:val="000000"/>
          <w:sz w:val="18"/>
          <w:szCs w:val="18"/>
          <w:lang w:val="en-US" w:eastAsia="fr-FR"/>
        </w:rPr>
        <w:t>      On that last point, the need to provide an interpretation of EU law which will be of use to the referring court requires that court, according to Article 94(a) and (b) of the Rules of Procedure of the Court, to define the factual and legislative context of the questions it is asking or, at the very least, to explain the factual circumstances on which those questions are based (see judgment of 10 May 2017, </w:t>
      </w:r>
      <w:r w:rsidRPr="00761F1A">
        <w:rPr>
          <w:rFonts w:ascii="Arial" w:eastAsia="Times New Roman" w:hAnsi="Arial" w:cs="Arial"/>
          <w:i/>
          <w:iCs/>
          <w:color w:val="000000"/>
          <w:sz w:val="18"/>
          <w:szCs w:val="18"/>
          <w:lang w:val="en-US" w:eastAsia="fr-FR"/>
        </w:rPr>
        <w:t>de Lobkowicz</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690/15, EU:C:2017:355, paragraph 28).</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25</w:t>
      </w:r>
      <w:r w:rsidRPr="00761F1A">
        <w:rPr>
          <w:rFonts w:ascii="Arial" w:eastAsia="Times New Roman" w:hAnsi="Arial" w:cs="Arial"/>
          <w:color w:val="000000"/>
          <w:sz w:val="18"/>
          <w:szCs w:val="18"/>
          <w:lang w:val="en-US" w:eastAsia="fr-FR"/>
        </w:rPr>
        <w:t>      Furthermore, according to the settled case-law of the Court, the information provided in orders for reference not only enables the Court to give useful answers but also serves to ensure that the governments of the Member States and other interested persons are given an opportunity to submit observations in accordance with Article 23 of the Statute of the Court of Justice of the European Union.</w:t>
      </w:r>
      <w:proofErr w:type="gramEnd"/>
      <w:r w:rsidRPr="00761F1A">
        <w:rPr>
          <w:rFonts w:ascii="Arial" w:eastAsia="Times New Roman" w:hAnsi="Arial" w:cs="Arial"/>
          <w:color w:val="000000"/>
          <w:sz w:val="18"/>
          <w:szCs w:val="18"/>
          <w:lang w:val="en-US" w:eastAsia="fr-FR"/>
        </w:rPr>
        <w:t xml:space="preserve"> </w:t>
      </w:r>
      <w:proofErr w:type="gramStart"/>
      <w:r w:rsidRPr="00761F1A">
        <w:rPr>
          <w:rFonts w:ascii="Arial" w:eastAsia="Times New Roman" w:hAnsi="Arial" w:cs="Arial"/>
          <w:color w:val="000000"/>
          <w:sz w:val="18"/>
          <w:szCs w:val="18"/>
          <w:lang w:val="en-US" w:eastAsia="fr-FR"/>
        </w:rPr>
        <w:t>It is for the Court to ensure that that opportunity is safeguarded, given that, under Article 23, only the orders for reference are notified to the interested parties, accompanied by a translation in the official language of each Member State, but excluding any case file that may be sent to the Court by the national court (judgment of 4 May 2016, </w:t>
      </w:r>
      <w:r w:rsidRPr="00761F1A">
        <w:rPr>
          <w:rFonts w:ascii="Arial" w:eastAsia="Times New Roman" w:hAnsi="Arial" w:cs="Arial"/>
          <w:i/>
          <w:iCs/>
          <w:color w:val="000000"/>
          <w:sz w:val="18"/>
          <w:szCs w:val="18"/>
          <w:lang w:val="en-US" w:eastAsia="fr-FR"/>
        </w:rPr>
        <w:t>Pillbox 38</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477/14, EU:C:2016:324, paragraph 26 and the case-law cited).</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26</w:t>
      </w:r>
      <w:r w:rsidRPr="00761F1A">
        <w:rPr>
          <w:rFonts w:ascii="Arial" w:eastAsia="Times New Roman" w:hAnsi="Arial" w:cs="Arial"/>
          <w:color w:val="000000"/>
          <w:sz w:val="18"/>
          <w:szCs w:val="18"/>
          <w:lang w:val="en-US" w:eastAsia="fr-FR"/>
        </w:rPr>
        <w:t>      In the present case, it must be noted that the order for reference, while brief in its reference to the relevant national provisions, nevertheless serves to identify those that may apply to the provision of the service at issue in the main proceedings, from which it would follow that a licence or prior administrative authorisation is required for that purpose.</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27</w:t>
      </w:r>
      <w:r w:rsidRPr="00761F1A">
        <w:rPr>
          <w:rFonts w:ascii="Arial" w:eastAsia="Times New Roman" w:hAnsi="Arial" w:cs="Arial"/>
          <w:color w:val="000000"/>
          <w:sz w:val="18"/>
          <w:szCs w:val="18"/>
          <w:lang w:val="en-US" w:eastAsia="fr-FR"/>
        </w:rPr>
        <w:t>      Similarly, the referring court’s description of the service provided by Uber, the content of which is set out in paragraph 16 above, is sufficiently precise.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28</w:t>
      </w:r>
      <w:r w:rsidRPr="00761F1A">
        <w:rPr>
          <w:rFonts w:ascii="Arial" w:eastAsia="Times New Roman" w:hAnsi="Arial" w:cs="Arial"/>
          <w:color w:val="000000"/>
          <w:sz w:val="18"/>
          <w:szCs w:val="18"/>
          <w:lang w:val="en-US" w:eastAsia="fr-FR"/>
        </w:rPr>
        <w:t>      Lastly, in accordance with Article 94(c) of the Rules of Procedure, the referring court sets out precisely the reasons for its uncertainty as to the interpretation of EU law.</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29</w:t>
      </w:r>
      <w:r w:rsidRPr="00761F1A">
        <w:rPr>
          <w:rFonts w:ascii="Arial" w:eastAsia="Times New Roman" w:hAnsi="Arial" w:cs="Arial"/>
          <w:color w:val="000000"/>
          <w:sz w:val="18"/>
          <w:szCs w:val="18"/>
          <w:lang w:val="en-US" w:eastAsia="fr-FR"/>
        </w:rPr>
        <w:t xml:space="preserve">      Consequently, it must be held that the order for reference contains the factual and legal material necessary to enable the Court to give a useful answer to the referring court and to enable interested persons usefully to take a position on the questions referred to the Court, in accordance with the </w:t>
      </w:r>
      <w:proofErr w:type="gramStart"/>
      <w:r w:rsidRPr="00761F1A">
        <w:rPr>
          <w:rFonts w:ascii="Arial" w:eastAsia="Times New Roman" w:hAnsi="Arial" w:cs="Arial"/>
          <w:color w:val="000000"/>
          <w:sz w:val="18"/>
          <w:szCs w:val="18"/>
          <w:lang w:val="en-US" w:eastAsia="fr-FR"/>
        </w:rPr>
        <w:t>case-law</w:t>
      </w:r>
      <w:proofErr w:type="gramEnd"/>
      <w:r w:rsidRPr="00761F1A">
        <w:rPr>
          <w:rFonts w:ascii="Arial" w:eastAsia="Times New Roman" w:hAnsi="Arial" w:cs="Arial"/>
          <w:color w:val="000000"/>
          <w:sz w:val="18"/>
          <w:szCs w:val="18"/>
          <w:lang w:val="en-US" w:eastAsia="fr-FR"/>
        </w:rPr>
        <w:t xml:space="preserve"> referred to in paragraph 25 above.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30</w:t>
      </w:r>
      <w:r w:rsidRPr="00761F1A">
        <w:rPr>
          <w:rFonts w:ascii="Arial" w:eastAsia="Times New Roman" w:hAnsi="Arial" w:cs="Arial"/>
          <w:color w:val="000000"/>
          <w:sz w:val="18"/>
          <w:szCs w:val="18"/>
          <w:lang w:val="en-US" w:eastAsia="fr-FR"/>
        </w:rPr>
        <w:t>      The Polish Government also expresses its doubts as to whether Article 56 TFEU, inter alia, is applicable to the present case, on the ground that the matter in the main proceedings is allegedly a purely internal matter.</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31</w:t>
      </w:r>
      <w:r w:rsidRPr="00761F1A">
        <w:rPr>
          <w:rFonts w:ascii="Arial" w:eastAsia="Times New Roman" w:hAnsi="Arial" w:cs="Arial"/>
          <w:color w:val="000000"/>
          <w:sz w:val="18"/>
          <w:szCs w:val="18"/>
          <w:lang w:val="en-US" w:eastAsia="fr-FR"/>
        </w:rPr>
        <w:t xml:space="preserve">      However, it is apparent from the order for reference, in particular the information referred to in paragraph 14 above and the other documents in the file before the Court, that the service at issue in the main proceedings </w:t>
      </w:r>
      <w:proofErr w:type="gramStart"/>
      <w:r w:rsidRPr="00761F1A">
        <w:rPr>
          <w:rFonts w:ascii="Arial" w:eastAsia="Times New Roman" w:hAnsi="Arial" w:cs="Arial"/>
          <w:color w:val="000000"/>
          <w:sz w:val="18"/>
          <w:szCs w:val="18"/>
          <w:lang w:val="en-US" w:eastAsia="fr-FR"/>
        </w:rPr>
        <w:t>is provided</w:t>
      </w:r>
      <w:proofErr w:type="gramEnd"/>
      <w:r w:rsidRPr="00761F1A">
        <w:rPr>
          <w:rFonts w:ascii="Arial" w:eastAsia="Times New Roman" w:hAnsi="Arial" w:cs="Arial"/>
          <w:color w:val="000000"/>
          <w:sz w:val="18"/>
          <w:szCs w:val="18"/>
          <w:lang w:val="en-US" w:eastAsia="fr-FR"/>
        </w:rPr>
        <w:t xml:space="preserve"> through a company that operates from another Member State, namely the Kingdom of the Netherlands.</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lastRenderedPageBreak/>
        <w:t>32</w:t>
      </w:r>
      <w:r w:rsidRPr="00761F1A">
        <w:rPr>
          <w:rFonts w:ascii="Arial" w:eastAsia="Times New Roman" w:hAnsi="Arial" w:cs="Arial"/>
          <w:color w:val="000000"/>
          <w:sz w:val="18"/>
          <w:szCs w:val="18"/>
          <w:lang w:val="en-US" w:eastAsia="fr-FR"/>
        </w:rPr>
        <w:t xml:space="preserve">      In those circumstances, the request for a preliminary ruling </w:t>
      </w:r>
      <w:proofErr w:type="gramStart"/>
      <w:r w:rsidRPr="00761F1A">
        <w:rPr>
          <w:rFonts w:ascii="Arial" w:eastAsia="Times New Roman" w:hAnsi="Arial" w:cs="Arial"/>
          <w:color w:val="000000"/>
          <w:sz w:val="18"/>
          <w:szCs w:val="18"/>
          <w:lang w:val="en-US" w:eastAsia="fr-FR"/>
        </w:rPr>
        <w:t>must be held</w:t>
      </w:r>
      <w:proofErr w:type="gramEnd"/>
      <w:r w:rsidRPr="00761F1A">
        <w:rPr>
          <w:rFonts w:ascii="Arial" w:eastAsia="Times New Roman" w:hAnsi="Arial" w:cs="Arial"/>
          <w:color w:val="000000"/>
          <w:sz w:val="18"/>
          <w:szCs w:val="18"/>
          <w:lang w:val="en-US" w:eastAsia="fr-FR"/>
        </w:rPr>
        <w:t xml:space="preserve"> to be admissible.</w:t>
      </w:r>
    </w:p>
    <w:p w:rsidR="00761F1A" w:rsidRPr="00761F1A" w:rsidRDefault="00761F1A" w:rsidP="00761F1A">
      <w:pPr>
        <w:spacing w:after="240" w:line="240" w:lineRule="auto"/>
        <w:jc w:val="both"/>
        <w:rPr>
          <w:rFonts w:ascii="Arial" w:eastAsia="Times New Roman" w:hAnsi="Arial" w:cs="Arial"/>
          <w:i/>
          <w:iCs/>
          <w:color w:val="000000"/>
          <w:sz w:val="18"/>
          <w:szCs w:val="18"/>
          <w:lang w:val="en-US" w:eastAsia="fr-FR"/>
        </w:rPr>
      </w:pPr>
      <w:r w:rsidRPr="00761F1A">
        <w:rPr>
          <w:rFonts w:ascii="Arial" w:eastAsia="Times New Roman" w:hAnsi="Arial" w:cs="Arial"/>
          <w:i/>
          <w:iCs/>
          <w:color w:val="000000"/>
          <w:sz w:val="18"/>
          <w:szCs w:val="18"/>
          <w:lang w:val="en-US" w:eastAsia="fr-FR"/>
        </w:rPr>
        <w:t> </w:t>
      </w:r>
      <w:r w:rsidRPr="00761F1A">
        <w:rPr>
          <w:rFonts w:ascii="Arial" w:eastAsia="Times New Roman" w:hAnsi="Arial" w:cs="Arial"/>
          <w:b/>
          <w:bCs/>
          <w:i/>
          <w:iCs/>
          <w:color w:val="000000"/>
          <w:sz w:val="18"/>
          <w:szCs w:val="18"/>
          <w:lang w:val="en-US" w:eastAsia="fr-FR"/>
        </w:rPr>
        <w:t>Substance</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33</w:t>
      </w:r>
      <w:r w:rsidRPr="00761F1A">
        <w:rPr>
          <w:rFonts w:ascii="Arial" w:eastAsia="Times New Roman" w:hAnsi="Arial" w:cs="Arial"/>
          <w:color w:val="000000"/>
          <w:sz w:val="18"/>
          <w:szCs w:val="18"/>
          <w:lang w:val="en-US" w:eastAsia="fr-FR"/>
        </w:rPr>
        <w:t>      By its first and second questions, which should be considered together, the referring court asks, in essence, whether Article 56 TFEU, read together with Article 58(1) TFEU, as well as Article 2(2)(d) of Directive 2006/123 and Article 1(2) of Directive 98/34, to which Article 2(a) of Directive 2000/31 refers, must be interpreted as meaning that an intermediation service such as that at issue in the main proceedings, the purpose of which is to connect, by means of a smartphone application and for remuneration, non-professional drivers using their own vehicle with persons who wish to make urban journeys, is to be classified as a ‘service in the field of transport’ within the meaning of Article 58(1) TFEU and, therefore, excluded from the scope of Article 56 TFEU, Directive 2006/123 and Directive 2000/31, or whether, on the contrary, the service is covered by Article 56 TFEU, Directive 2006/123 and Directive 2000/31.</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34</w:t>
      </w:r>
      <w:r w:rsidRPr="00761F1A">
        <w:rPr>
          <w:rFonts w:ascii="Arial" w:eastAsia="Times New Roman" w:hAnsi="Arial" w:cs="Arial"/>
          <w:color w:val="000000"/>
          <w:sz w:val="18"/>
          <w:szCs w:val="18"/>
          <w:lang w:val="en-US" w:eastAsia="fr-FR"/>
        </w:rPr>
        <w:t>      In that regard, it should be noted that an intermediation service consisting of connecting a non-professional driver using his or her own vehicle with a person who wishes to make an urban journey is, in principle, a separate service from a transport service consisting of the physical act of moving persons or goods from one place to another by means of a vehicle.</w:t>
      </w:r>
      <w:proofErr w:type="gramEnd"/>
      <w:r w:rsidRPr="00761F1A">
        <w:rPr>
          <w:rFonts w:ascii="Arial" w:eastAsia="Times New Roman" w:hAnsi="Arial" w:cs="Arial"/>
          <w:color w:val="000000"/>
          <w:sz w:val="18"/>
          <w:szCs w:val="18"/>
          <w:lang w:val="en-US" w:eastAsia="fr-FR"/>
        </w:rPr>
        <w:t xml:space="preserve"> It should be added that each of those services, taken separately, </w:t>
      </w:r>
      <w:proofErr w:type="gramStart"/>
      <w:r w:rsidRPr="00761F1A">
        <w:rPr>
          <w:rFonts w:ascii="Arial" w:eastAsia="Times New Roman" w:hAnsi="Arial" w:cs="Arial"/>
          <w:color w:val="000000"/>
          <w:sz w:val="18"/>
          <w:szCs w:val="18"/>
          <w:lang w:val="en-US" w:eastAsia="fr-FR"/>
        </w:rPr>
        <w:t>can</w:t>
      </w:r>
      <w:proofErr w:type="gramEnd"/>
      <w:r w:rsidRPr="00761F1A">
        <w:rPr>
          <w:rFonts w:ascii="Arial" w:eastAsia="Times New Roman" w:hAnsi="Arial" w:cs="Arial"/>
          <w:color w:val="000000"/>
          <w:sz w:val="18"/>
          <w:szCs w:val="18"/>
          <w:lang w:val="en-US" w:eastAsia="fr-FR"/>
        </w:rPr>
        <w:t xml:space="preserve"> be linked to different directives or provisions of the FEU Treaty on the freedom to provide services, as contemplated by the referring court.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35</w:t>
      </w:r>
      <w:r w:rsidRPr="00761F1A">
        <w:rPr>
          <w:rFonts w:ascii="Arial" w:eastAsia="Times New Roman" w:hAnsi="Arial" w:cs="Arial"/>
          <w:color w:val="000000"/>
          <w:sz w:val="18"/>
          <w:szCs w:val="18"/>
          <w:lang w:val="en-US" w:eastAsia="fr-FR"/>
        </w:rPr>
        <w:t>      Accordingly, an intermediation service that enables the transfer, by means of a smartphone application, of information concerning the booking of a transport service between the passenger and the non-professional driver who will carry out the transportation using his or her own vehicle, meets, in principle, the criteria for classification as an ‘information society service’ within the meaning of Article 1(2) of Directive 98/34 and Article 2(a) of Directive 2000/31.</w:t>
      </w:r>
      <w:proofErr w:type="gramEnd"/>
      <w:r w:rsidRPr="00761F1A">
        <w:rPr>
          <w:rFonts w:ascii="Arial" w:eastAsia="Times New Roman" w:hAnsi="Arial" w:cs="Arial"/>
          <w:color w:val="000000"/>
          <w:sz w:val="18"/>
          <w:szCs w:val="18"/>
          <w:lang w:val="en-US" w:eastAsia="fr-FR"/>
        </w:rPr>
        <w:t xml:space="preserve"> That intermediation service, according to the definition laid down in Article 1(2) of Directive 98/34, is ‘a service normally provided for remuneration, at a distance, by electronic means and at the individual request of a recipient of services’.</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36</w:t>
      </w:r>
      <w:r w:rsidRPr="00761F1A">
        <w:rPr>
          <w:rFonts w:ascii="Arial" w:eastAsia="Times New Roman" w:hAnsi="Arial" w:cs="Arial"/>
          <w:color w:val="000000"/>
          <w:sz w:val="18"/>
          <w:szCs w:val="18"/>
          <w:lang w:val="en-US" w:eastAsia="fr-FR"/>
        </w:rPr>
        <w:t>      By contrast, non-public urban transport services, such as a taxi services, must be classified as ‘services in the field of transport’ within the meaning of Article 2(2)(d) of Directive 2006/123, read in the light of recital 21 thereof (see, to that effect, judgment of 1 October 2015, </w:t>
      </w:r>
      <w:r w:rsidRPr="00761F1A">
        <w:rPr>
          <w:rFonts w:ascii="Arial" w:eastAsia="Times New Roman" w:hAnsi="Arial" w:cs="Arial"/>
          <w:i/>
          <w:iCs/>
          <w:color w:val="000000"/>
          <w:sz w:val="18"/>
          <w:szCs w:val="18"/>
          <w:lang w:val="en-US" w:eastAsia="fr-FR"/>
        </w:rPr>
        <w:t>Trijber and Harmsen</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340/14 and C</w:t>
      </w:r>
      <w:r w:rsidRPr="00761F1A">
        <w:rPr>
          <w:rFonts w:ascii="Arial" w:eastAsia="Times New Roman" w:hAnsi="Arial" w:cs="Arial"/>
          <w:color w:val="000000"/>
          <w:sz w:val="18"/>
          <w:szCs w:val="18"/>
          <w:lang w:val="en-US" w:eastAsia="fr-FR"/>
        </w:rPr>
        <w:noBreakHyphen/>
        <w:t>341/14, EU:C:2015:641, paragraph 49).</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37</w:t>
      </w:r>
      <w:r w:rsidRPr="00761F1A">
        <w:rPr>
          <w:rFonts w:ascii="Arial" w:eastAsia="Times New Roman" w:hAnsi="Arial" w:cs="Arial"/>
          <w:color w:val="000000"/>
          <w:sz w:val="18"/>
          <w:szCs w:val="18"/>
          <w:lang w:val="en-US" w:eastAsia="fr-FR"/>
        </w:rPr>
        <w:t>      It is appropriate to observe, however, that a service such as that in the main proceedings is more than an intermediation service consisting of connecting, by means of a smartphone application, a non-professional driver using his or her own vehicle with a person who wishes to make an urban journey.</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38</w:t>
      </w:r>
      <w:r w:rsidRPr="00761F1A">
        <w:rPr>
          <w:rFonts w:ascii="Arial" w:eastAsia="Times New Roman" w:hAnsi="Arial" w:cs="Arial"/>
          <w:color w:val="000000"/>
          <w:sz w:val="18"/>
          <w:szCs w:val="18"/>
          <w:lang w:val="en-US" w:eastAsia="fr-FR"/>
        </w:rPr>
        <w:t>      In a situation such as that with which the referring court is concerned, where passengers are transported by non-professional drivers using their own vehicle, the provider of that intermediation service simultaneously offers urban transport services, which it renders accessible, in particular, through software tools such as the application at issue in the main proceedings and whose general operation it organises for the benefit of persons who wish to accept that offer in order to make an urban journey.</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39</w:t>
      </w:r>
      <w:r w:rsidRPr="00761F1A">
        <w:rPr>
          <w:rFonts w:ascii="Arial" w:eastAsia="Times New Roman" w:hAnsi="Arial" w:cs="Arial"/>
          <w:color w:val="000000"/>
          <w:sz w:val="18"/>
          <w:szCs w:val="18"/>
          <w:lang w:val="en-US" w:eastAsia="fr-FR"/>
        </w:rPr>
        <w:t>      In that regard, it follows from the information before the Court that the intermediation service provided by Uber is based on the selection of non-professional drivers using their own vehicle, to whom the company provides an application without which (i) those drivers would not be led to provide transport services and (ii) persons who wish to make an urban journey would not use the services provided by those drivers.</w:t>
      </w:r>
      <w:proofErr w:type="gramEnd"/>
      <w:r w:rsidRPr="00761F1A">
        <w:rPr>
          <w:rFonts w:ascii="Arial" w:eastAsia="Times New Roman" w:hAnsi="Arial" w:cs="Arial"/>
          <w:color w:val="000000"/>
          <w:sz w:val="18"/>
          <w:szCs w:val="18"/>
          <w:lang w:val="en-US" w:eastAsia="fr-FR"/>
        </w:rPr>
        <w:t xml:space="preserve"> In addition, Uber exercises decisive influence over the conditions under which </w:t>
      </w:r>
      <w:proofErr w:type="gramStart"/>
      <w:r w:rsidRPr="00761F1A">
        <w:rPr>
          <w:rFonts w:ascii="Arial" w:eastAsia="Times New Roman" w:hAnsi="Arial" w:cs="Arial"/>
          <w:color w:val="000000"/>
          <w:sz w:val="18"/>
          <w:szCs w:val="18"/>
          <w:lang w:val="en-US" w:eastAsia="fr-FR"/>
        </w:rPr>
        <w:t>that service is provided by those drivers</w:t>
      </w:r>
      <w:proofErr w:type="gramEnd"/>
      <w:r w:rsidRPr="00761F1A">
        <w:rPr>
          <w:rFonts w:ascii="Arial" w:eastAsia="Times New Roman" w:hAnsi="Arial" w:cs="Arial"/>
          <w:color w:val="000000"/>
          <w:sz w:val="18"/>
          <w:szCs w:val="18"/>
          <w:lang w:val="en-US" w:eastAsia="fr-FR"/>
        </w:rPr>
        <w:t xml:space="preserve">. </w:t>
      </w:r>
      <w:proofErr w:type="gramStart"/>
      <w:r w:rsidRPr="00761F1A">
        <w:rPr>
          <w:rFonts w:ascii="Arial" w:eastAsia="Times New Roman" w:hAnsi="Arial" w:cs="Arial"/>
          <w:color w:val="000000"/>
          <w:sz w:val="18"/>
          <w:szCs w:val="18"/>
          <w:lang w:val="en-US" w:eastAsia="fr-FR"/>
        </w:rPr>
        <w:t>On the latter point, it appears, inter alia, that Uber determines at least the maximum fare by means of the eponymous application, that the company receives that amount from the client before paying part of it to the non-professional driver of the vehicle, and that it exercises a certain control over the quality of the vehicles, the drivers and their conduct, which can, in some circumstances, result in their exclusion.</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40</w:t>
      </w:r>
      <w:r w:rsidRPr="00761F1A">
        <w:rPr>
          <w:rFonts w:ascii="Arial" w:eastAsia="Times New Roman" w:hAnsi="Arial" w:cs="Arial"/>
          <w:color w:val="000000"/>
          <w:sz w:val="18"/>
          <w:szCs w:val="18"/>
          <w:lang w:val="en-US" w:eastAsia="fr-FR"/>
        </w:rPr>
        <w:t>      That intermediation service must thus be regarded as forming an integral part of an overall service whose main component is a transport service and, accordingly, must be classified not as ‘an information society service’ within the meaning of Article 1(2) of Directive 98/34, to which Article 2(a) of Directive 2000/31 refers, but as ‘a service in the field of transport’ within the meaning of Article 2(2)(d) of Directive 2006/123.</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41</w:t>
      </w:r>
      <w:r w:rsidRPr="00761F1A">
        <w:rPr>
          <w:rFonts w:ascii="Arial" w:eastAsia="Times New Roman" w:hAnsi="Arial" w:cs="Arial"/>
          <w:color w:val="000000"/>
          <w:sz w:val="18"/>
          <w:szCs w:val="18"/>
          <w:lang w:val="en-US" w:eastAsia="fr-FR"/>
        </w:rPr>
        <w:t>      That classification is indeed confirmed by the case-law of the Court, according to which the concept of ‘services in the field of transport’ includes not only transport services in themselves but also any service inherently linked to any physical act of moving persons or goods from one place to another by means of transport (see, to that effect, judgment of 15 October 2015, </w:t>
      </w:r>
      <w:r w:rsidRPr="00761F1A">
        <w:rPr>
          <w:rFonts w:ascii="Arial" w:eastAsia="Times New Roman" w:hAnsi="Arial" w:cs="Arial"/>
          <w:i/>
          <w:iCs/>
          <w:color w:val="000000"/>
          <w:sz w:val="18"/>
          <w:szCs w:val="18"/>
          <w:lang w:val="en-US" w:eastAsia="fr-FR"/>
        </w:rPr>
        <w:t>Grupo Itevelesa and Others</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168/14, EU:C:2015:685, paragraphs 45 and 46, and Opinion 2/15 </w:t>
      </w:r>
      <w:r w:rsidRPr="00761F1A">
        <w:rPr>
          <w:rFonts w:ascii="Arial" w:eastAsia="Times New Roman" w:hAnsi="Arial" w:cs="Arial"/>
          <w:i/>
          <w:iCs/>
          <w:color w:val="000000"/>
          <w:sz w:val="18"/>
          <w:szCs w:val="18"/>
          <w:lang w:val="en-US" w:eastAsia="fr-FR"/>
        </w:rPr>
        <w:t>(Free Trade Agreement with Singapore)</w:t>
      </w:r>
      <w:r w:rsidRPr="00761F1A">
        <w:rPr>
          <w:rFonts w:ascii="Arial" w:eastAsia="Times New Roman" w:hAnsi="Arial" w:cs="Arial"/>
          <w:color w:val="000000"/>
          <w:sz w:val="18"/>
          <w:szCs w:val="18"/>
          <w:lang w:val="en-US" w:eastAsia="fr-FR"/>
        </w:rPr>
        <w:t> of 16 May 2017, EU:C:2017:376, paragraph 61).</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lastRenderedPageBreak/>
        <w:t>42</w:t>
      </w:r>
      <w:r w:rsidRPr="00761F1A">
        <w:rPr>
          <w:rFonts w:ascii="Arial" w:eastAsia="Times New Roman" w:hAnsi="Arial" w:cs="Arial"/>
          <w:color w:val="000000"/>
          <w:sz w:val="18"/>
          <w:szCs w:val="18"/>
          <w:lang w:val="en-US" w:eastAsia="fr-FR"/>
        </w:rPr>
        <w:t xml:space="preserve">      Consequently, Directive 2000/31 does not apply </w:t>
      </w:r>
      <w:proofErr w:type="gramStart"/>
      <w:r w:rsidRPr="00761F1A">
        <w:rPr>
          <w:rFonts w:ascii="Arial" w:eastAsia="Times New Roman" w:hAnsi="Arial" w:cs="Arial"/>
          <w:color w:val="000000"/>
          <w:sz w:val="18"/>
          <w:szCs w:val="18"/>
          <w:lang w:val="en-US" w:eastAsia="fr-FR"/>
        </w:rPr>
        <w:t>to an intermediation service such as that at issue in the main proceedings</w:t>
      </w:r>
      <w:proofErr w:type="gramEnd"/>
      <w:r w:rsidRPr="00761F1A">
        <w:rPr>
          <w:rFonts w:ascii="Arial" w:eastAsia="Times New Roman" w:hAnsi="Arial" w:cs="Arial"/>
          <w:color w:val="000000"/>
          <w:sz w:val="18"/>
          <w:szCs w:val="18"/>
          <w:lang w:val="en-US" w:eastAsia="fr-FR"/>
        </w:rPr>
        <w:t>.</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43</w:t>
      </w:r>
      <w:r w:rsidRPr="00761F1A">
        <w:rPr>
          <w:rFonts w:ascii="Arial" w:eastAsia="Times New Roman" w:hAnsi="Arial" w:cs="Arial"/>
          <w:color w:val="000000"/>
          <w:sz w:val="18"/>
          <w:szCs w:val="18"/>
          <w:lang w:val="en-US" w:eastAsia="fr-FR"/>
        </w:rPr>
        <w:t>      Such service, in so far as it is classified as ‘a service in the field of transport’, does not come under Directive 2006/123 either, since this type of service is expressly excluded from the scope of the directive pursuant to Article 2(2</w:t>
      </w:r>
      <w:proofErr w:type="gramStart"/>
      <w:r w:rsidRPr="00761F1A">
        <w:rPr>
          <w:rFonts w:ascii="Arial" w:eastAsia="Times New Roman" w:hAnsi="Arial" w:cs="Arial"/>
          <w:color w:val="000000"/>
          <w:sz w:val="18"/>
          <w:szCs w:val="18"/>
          <w:lang w:val="en-US" w:eastAsia="fr-FR"/>
        </w:rPr>
        <w:t>)(</w:t>
      </w:r>
      <w:proofErr w:type="gramEnd"/>
      <w:r w:rsidRPr="00761F1A">
        <w:rPr>
          <w:rFonts w:ascii="Arial" w:eastAsia="Times New Roman" w:hAnsi="Arial" w:cs="Arial"/>
          <w:color w:val="000000"/>
          <w:sz w:val="18"/>
          <w:szCs w:val="18"/>
          <w:lang w:val="en-US" w:eastAsia="fr-FR"/>
        </w:rPr>
        <w:t>d) thereof.</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44</w:t>
      </w:r>
      <w:r w:rsidRPr="00761F1A">
        <w:rPr>
          <w:rFonts w:ascii="Arial" w:eastAsia="Times New Roman" w:hAnsi="Arial" w:cs="Arial"/>
          <w:color w:val="000000"/>
          <w:sz w:val="18"/>
          <w:szCs w:val="18"/>
          <w:lang w:val="en-US" w:eastAsia="fr-FR"/>
        </w:rPr>
        <w:t>      Moreover, since the intermediation service at issue in the main proceedings is to be classified as ‘a service in the field of transport’, it is covered not by Article 56 TFEU on the freedom to provide services in general but by Article 58(1) TFEU, a specific provision according to which ‘freedom to provide services in the field of transport shall be governed by the provisions of the Title relating to transport’ (see, to that effect, judgment of 22 December 2010, </w:t>
      </w:r>
      <w:r w:rsidRPr="00761F1A">
        <w:rPr>
          <w:rFonts w:ascii="Arial" w:eastAsia="Times New Roman" w:hAnsi="Arial" w:cs="Arial"/>
          <w:i/>
          <w:iCs/>
          <w:color w:val="000000"/>
          <w:sz w:val="18"/>
          <w:szCs w:val="18"/>
          <w:lang w:val="en-US" w:eastAsia="fr-FR"/>
        </w:rPr>
        <w:t>Yellow Cab Verkehrsbetrieb</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338/09, EU:C:2010:814, paragraph 29 and the case-law cited).</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45</w:t>
      </w:r>
      <w:r w:rsidRPr="00761F1A">
        <w:rPr>
          <w:rFonts w:ascii="Arial" w:eastAsia="Times New Roman" w:hAnsi="Arial" w:cs="Arial"/>
          <w:color w:val="000000"/>
          <w:sz w:val="18"/>
          <w:szCs w:val="18"/>
          <w:lang w:val="en-US" w:eastAsia="fr-FR"/>
        </w:rPr>
        <w:t>      Accordingly, application of the principle governing freedom to provide services must be achieved, according to the FEU Treaty, by implementing the common transport policy (judgment of 22 December 2010, Y</w:t>
      </w:r>
      <w:r w:rsidRPr="00761F1A">
        <w:rPr>
          <w:rFonts w:ascii="Arial" w:eastAsia="Times New Roman" w:hAnsi="Arial" w:cs="Arial"/>
          <w:i/>
          <w:iCs/>
          <w:color w:val="000000"/>
          <w:sz w:val="18"/>
          <w:szCs w:val="18"/>
          <w:lang w:val="en-US" w:eastAsia="fr-FR"/>
        </w:rPr>
        <w:t>ellow Cab Verkehrsbetrieb</w:t>
      </w:r>
      <w:r w:rsidRPr="00761F1A">
        <w:rPr>
          <w:rFonts w:ascii="Arial" w:eastAsia="Times New Roman" w:hAnsi="Arial" w:cs="Arial"/>
          <w:color w:val="000000"/>
          <w:sz w:val="18"/>
          <w:szCs w:val="18"/>
          <w:lang w:val="en-US" w:eastAsia="fr-FR"/>
        </w:rPr>
        <w:t>, C</w:t>
      </w:r>
      <w:r w:rsidRPr="00761F1A">
        <w:rPr>
          <w:rFonts w:ascii="Arial" w:eastAsia="Times New Roman" w:hAnsi="Arial" w:cs="Arial"/>
          <w:color w:val="000000"/>
          <w:sz w:val="18"/>
          <w:szCs w:val="18"/>
          <w:lang w:val="en-US" w:eastAsia="fr-FR"/>
        </w:rPr>
        <w:noBreakHyphen/>
        <w:t>338/09, EU:C:2010:814, paragraph 30 and the case-law cited).</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46</w:t>
      </w:r>
      <w:r w:rsidRPr="00761F1A">
        <w:rPr>
          <w:rFonts w:ascii="Arial" w:eastAsia="Times New Roman" w:hAnsi="Arial" w:cs="Arial"/>
          <w:color w:val="000000"/>
          <w:sz w:val="18"/>
          <w:szCs w:val="18"/>
          <w:lang w:val="en-US" w:eastAsia="fr-FR"/>
        </w:rPr>
        <w:t>      However, it should be noted that non-public urban transport services and services that are inherently linked to those services, such as the intermediation service at issue in the main proceedings, has not given rise to the adoption by the European Parliament and the Council of the European Union of common rules or other measures based on Article 91(1) TFEU.</w:t>
      </w:r>
      <w:proofErr w:type="gramEnd"/>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47</w:t>
      </w:r>
      <w:r w:rsidRPr="00761F1A">
        <w:rPr>
          <w:rFonts w:ascii="Arial" w:eastAsia="Times New Roman" w:hAnsi="Arial" w:cs="Arial"/>
          <w:color w:val="000000"/>
          <w:sz w:val="18"/>
          <w:szCs w:val="18"/>
          <w:lang w:val="en-US" w:eastAsia="fr-FR"/>
        </w:rPr>
        <w:t xml:space="preserve">      It follows that, as EU law currently stands, it is for the Member States to regulate the conditions under which intermediation services such as that at issue in the main proceedings are to </w:t>
      </w:r>
      <w:proofErr w:type="gramStart"/>
      <w:r w:rsidRPr="00761F1A">
        <w:rPr>
          <w:rFonts w:ascii="Arial" w:eastAsia="Times New Roman" w:hAnsi="Arial" w:cs="Arial"/>
          <w:color w:val="000000"/>
          <w:sz w:val="18"/>
          <w:szCs w:val="18"/>
          <w:lang w:val="en-US" w:eastAsia="fr-FR"/>
        </w:rPr>
        <w:t>be provided</w:t>
      </w:r>
      <w:proofErr w:type="gramEnd"/>
      <w:r w:rsidRPr="00761F1A">
        <w:rPr>
          <w:rFonts w:ascii="Arial" w:eastAsia="Times New Roman" w:hAnsi="Arial" w:cs="Arial"/>
          <w:color w:val="000000"/>
          <w:sz w:val="18"/>
          <w:szCs w:val="18"/>
          <w:lang w:val="en-US" w:eastAsia="fr-FR"/>
        </w:rPr>
        <w:t xml:space="preserve"> in conformity with the general rules of the FEU Treaty.</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761F1A">
        <w:rPr>
          <w:rFonts w:ascii="Arial" w:eastAsia="Times New Roman" w:hAnsi="Arial" w:cs="Arial"/>
          <w:color w:val="006699"/>
          <w:sz w:val="18"/>
          <w:szCs w:val="18"/>
          <w:lang w:val="en-US" w:eastAsia="fr-FR"/>
        </w:rPr>
        <w:t>48</w:t>
      </w:r>
      <w:r w:rsidRPr="00761F1A">
        <w:rPr>
          <w:rFonts w:ascii="Arial" w:eastAsia="Times New Roman" w:hAnsi="Arial" w:cs="Arial"/>
          <w:color w:val="000000"/>
          <w:sz w:val="18"/>
          <w:szCs w:val="18"/>
          <w:lang w:val="en-US" w:eastAsia="fr-FR"/>
        </w:rPr>
        <w:t>      Accordingly, the answer to the first and second questions is that Article 56 TFEU, read together with Article 58(1) TFEU, as well as Article 2(2)(d) of Directive 2006/123 and Article 1(2) of Directive 98/34, to which Article 2(a) of Directive 2000/31 refers, must be interpreted as meaning that an intermediation service such as that at issue in the main proceedings, the purpose of which is to connect, by means of a smartphone application and for remuneration, non-professional drivers using their own vehicle with persons who wish to make urban journeys, must be regarded as being inherently linked to a transport service and, accordingly, must be classified as ‘a service in the field of transport’ within the meaning of Article 58(1) TFEU.</w:t>
      </w:r>
      <w:proofErr w:type="gramEnd"/>
      <w:r w:rsidRPr="00761F1A">
        <w:rPr>
          <w:rFonts w:ascii="Arial" w:eastAsia="Times New Roman" w:hAnsi="Arial" w:cs="Arial"/>
          <w:color w:val="000000"/>
          <w:sz w:val="18"/>
          <w:szCs w:val="18"/>
          <w:lang w:val="en-US" w:eastAsia="fr-FR"/>
        </w:rPr>
        <w:t xml:space="preserve"> Consequently, such a service </w:t>
      </w:r>
      <w:proofErr w:type="gramStart"/>
      <w:r w:rsidRPr="00761F1A">
        <w:rPr>
          <w:rFonts w:ascii="Arial" w:eastAsia="Times New Roman" w:hAnsi="Arial" w:cs="Arial"/>
          <w:color w:val="000000"/>
          <w:sz w:val="18"/>
          <w:szCs w:val="18"/>
          <w:lang w:val="en-US" w:eastAsia="fr-FR"/>
        </w:rPr>
        <w:t>must be excluded</w:t>
      </w:r>
      <w:proofErr w:type="gramEnd"/>
      <w:r w:rsidRPr="00761F1A">
        <w:rPr>
          <w:rFonts w:ascii="Arial" w:eastAsia="Times New Roman" w:hAnsi="Arial" w:cs="Arial"/>
          <w:color w:val="000000"/>
          <w:sz w:val="18"/>
          <w:szCs w:val="18"/>
          <w:lang w:val="en-US" w:eastAsia="fr-FR"/>
        </w:rPr>
        <w:t xml:space="preserve"> from the scope of Article 56 TFEU, Directive 2006/123 and Directive 2000/31.</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49</w:t>
      </w:r>
      <w:r w:rsidRPr="00761F1A">
        <w:rPr>
          <w:rFonts w:ascii="Arial" w:eastAsia="Times New Roman" w:hAnsi="Arial" w:cs="Arial"/>
          <w:color w:val="000000"/>
          <w:sz w:val="18"/>
          <w:szCs w:val="18"/>
          <w:lang w:val="en-US" w:eastAsia="fr-FR"/>
        </w:rPr>
        <w:t xml:space="preserve">      In the light of the answer given to the first and second questions, it is not necessary to provide an answer to the third and fourth questions, which </w:t>
      </w:r>
      <w:proofErr w:type="gramStart"/>
      <w:r w:rsidRPr="00761F1A">
        <w:rPr>
          <w:rFonts w:ascii="Arial" w:eastAsia="Times New Roman" w:hAnsi="Arial" w:cs="Arial"/>
          <w:color w:val="000000"/>
          <w:sz w:val="18"/>
          <w:szCs w:val="18"/>
          <w:lang w:val="en-US" w:eastAsia="fr-FR"/>
        </w:rPr>
        <w:t>were referred</w:t>
      </w:r>
      <w:proofErr w:type="gramEnd"/>
      <w:r w:rsidRPr="00761F1A">
        <w:rPr>
          <w:rFonts w:ascii="Arial" w:eastAsia="Times New Roman" w:hAnsi="Arial" w:cs="Arial"/>
          <w:color w:val="000000"/>
          <w:sz w:val="18"/>
          <w:szCs w:val="18"/>
          <w:lang w:val="en-US" w:eastAsia="fr-FR"/>
        </w:rPr>
        <w:t xml:space="preserve"> on the assumption that Directive 2006/123 or Directive 2000/31 applied.</w:t>
      </w:r>
    </w:p>
    <w:p w:rsidR="00761F1A" w:rsidRPr="00761F1A" w:rsidRDefault="00761F1A" w:rsidP="00761F1A">
      <w:pPr>
        <w:spacing w:before="480" w:after="240" w:line="240" w:lineRule="auto"/>
        <w:jc w:val="both"/>
        <w:rPr>
          <w:rFonts w:ascii="Arial" w:eastAsia="Times New Roman" w:hAnsi="Arial" w:cs="Arial"/>
          <w:b/>
          <w:bCs/>
          <w:color w:val="000000"/>
          <w:sz w:val="18"/>
          <w:szCs w:val="18"/>
          <w:lang w:eastAsia="fr-FR"/>
        </w:rPr>
      </w:pPr>
      <w:r w:rsidRPr="00761F1A">
        <w:rPr>
          <w:rFonts w:ascii="Arial" w:eastAsia="Times New Roman" w:hAnsi="Arial" w:cs="Arial"/>
          <w:b/>
          <w:bCs/>
          <w:color w:val="000000"/>
          <w:sz w:val="18"/>
          <w:szCs w:val="18"/>
          <w:lang w:val="en-US" w:eastAsia="fr-FR"/>
        </w:rPr>
        <w:t> </w:t>
      </w:r>
      <w:r w:rsidRPr="00761F1A">
        <w:rPr>
          <w:rFonts w:ascii="Arial" w:eastAsia="Times New Roman" w:hAnsi="Arial" w:cs="Arial"/>
          <w:b/>
          <w:bCs/>
          <w:color w:val="000000"/>
          <w:sz w:val="18"/>
          <w:szCs w:val="18"/>
          <w:lang w:eastAsia="fr-FR"/>
        </w:rPr>
        <w:t>Costs</w:t>
      </w:r>
    </w:p>
    <w:p w:rsidR="00761F1A" w:rsidRPr="00761F1A" w:rsidRDefault="00761F1A"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761F1A">
        <w:rPr>
          <w:rFonts w:ascii="Arial" w:eastAsia="Times New Roman" w:hAnsi="Arial" w:cs="Arial"/>
          <w:color w:val="006699"/>
          <w:sz w:val="18"/>
          <w:szCs w:val="18"/>
          <w:lang w:val="en-US" w:eastAsia="fr-FR"/>
        </w:rPr>
        <w:t>50</w:t>
      </w:r>
      <w:r w:rsidRPr="00761F1A">
        <w:rPr>
          <w:rFonts w:ascii="Arial" w:eastAsia="Times New Roman" w:hAnsi="Arial" w:cs="Arial"/>
          <w:color w:val="000000"/>
          <w:sz w:val="18"/>
          <w:szCs w:val="18"/>
          <w:lang w:val="en-US" w:eastAsia="fr-FR"/>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761F1A" w:rsidRPr="00761F1A" w:rsidRDefault="00761F1A" w:rsidP="00761F1A">
      <w:pPr>
        <w:spacing w:before="100" w:beforeAutospacing="1" w:after="100" w:afterAutospacing="1" w:line="240" w:lineRule="auto"/>
        <w:rPr>
          <w:rFonts w:ascii="Arial" w:eastAsia="Times New Roman" w:hAnsi="Arial" w:cs="Arial"/>
          <w:color w:val="000000"/>
          <w:sz w:val="18"/>
          <w:szCs w:val="18"/>
          <w:lang w:val="en-US" w:eastAsia="fr-FR"/>
        </w:rPr>
      </w:pPr>
      <w:r w:rsidRPr="00761F1A">
        <w:rPr>
          <w:rFonts w:ascii="Arial" w:eastAsia="Times New Roman" w:hAnsi="Arial" w:cs="Arial"/>
          <w:color w:val="000000"/>
          <w:sz w:val="18"/>
          <w:szCs w:val="18"/>
          <w:lang w:val="en-US" w:eastAsia="fr-FR"/>
        </w:rPr>
        <w:t>On those grounds, the Court (Grand Chamber) hereby rules:</w:t>
      </w:r>
    </w:p>
    <w:p w:rsidR="00761F1A" w:rsidRPr="00761F1A" w:rsidRDefault="00761F1A" w:rsidP="00761F1A">
      <w:pPr>
        <w:spacing w:before="100" w:beforeAutospacing="1" w:after="100" w:afterAutospacing="1" w:line="240" w:lineRule="auto"/>
        <w:rPr>
          <w:rFonts w:ascii="Arial" w:eastAsia="Times New Roman" w:hAnsi="Arial" w:cs="Arial"/>
          <w:color w:val="000000"/>
          <w:sz w:val="18"/>
          <w:szCs w:val="18"/>
          <w:lang w:val="en-US" w:eastAsia="fr-FR"/>
        </w:rPr>
      </w:pPr>
      <w:proofErr w:type="gramStart"/>
      <w:r w:rsidRPr="00761F1A">
        <w:rPr>
          <w:rFonts w:ascii="Arial" w:eastAsia="Times New Roman" w:hAnsi="Arial" w:cs="Arial"/>
          <w:b/>
          <w:bCs/>
          <w:color w:val="000000"/>
          <w:sz w:val="18"/>
          <w:szCs w:val="18"/>
          <w:lang w:val="en-US" w:eastAsia="fr-FR"/>
        </w:rPr>
        <w:t>Article 56 TFEU, read together with Article 58(1) TFEU, as well as Article 2(2)(d) of Directive 2006/123/EC of the European Parliament and of the Council of 12 December 2006 on services in the internal market, and Article 1(2) of Directive 98/34/EC of the European Parliament and of the Council of 22 June 1998 laying down a procedure for the provision of information in the field of technical standards and regulations and of rules on Information Society services, as amended by Directive 98/48/EC of the European Parliament and of Council of 20 July 1998, to which Article 2(a) of Directive 2000/31/EC of the European Parliament and of the Council of 8 June 2000 on certain legal aspects of information society services, in particular electronic commerce, in the Internal Market (‘Directive on electronic commerce’) refers, must be interpreted as meaning that an intermediation service such as that at issue in the main proceedings, the purpose of which is to connect, by means of a smartphone application and for remuneration, non-professional drivers using their own vehicle with persons who wish to make urban journeys, must be regarded as being inherently linked to a transport service and, accordingly, must be classified as ‘a service in the field of transport’ within the meaning of Article 58(1) TFEU.</w:t>
      </w:r>
      <w:proofErr w:type="gramEnd"/>
      <w:r w:rsidRPr="00761F1A">
        <w:rPr>
          <w:rFonts w:ascii="Arial" w:eastAsia="Times New Roman" w:hAnsi="Arial" w:cs="Arial"/>
          <w:b/>
          <w:bCs/>
          <w:color w:val="000000"/>
          <w:sz w:val="18"/>
          <w:szCs w:val="18"/>
          <w:lang w:val="en-US" w:eastAsia="fr-FR"/>
        </w:rPr>
        <w:t xml:space="preserve"> Consequently, such a service </w:t>
      </w:r>
      <w:proofErr w:type="gramStart"/>
      <w:r w:rsidRPr="00761F1A">
        <w:rPr>
          <w:rFonts w:ascii="Arial" w:eastAsia="Times New Roman" w:hAnsi="Arial" w:cs="Arial"/>
          <w:b/>
          <w:bCs/>
          <w:color w:val="000000"/>
          <w:sz w:val="18"/>
          <w:szCs w:val="18"/>
          <w:lang w:val="en-US" w:eastAsia="fr-FR"/>
        </w:rPr>
        <w:t>must be excluded</w:t>
      </w:r>
      <w:proofErr w:type="gramEnd"/>
      <w:r w:rsidRPr="00761F1A">
        <w:rPr>
          <w:rFonts w:ascii="Arial" w:eastAsia="Times New Roman" w:hAnsi="Arial" w:cs="Arial"/>
          <w:b/>
          <w:bCs/>
          <w:color w:val="000000"/>
          <w:sz w:val="18"/>
          <w:szCs w:val="18"/>
          <w:lang w:val="en-US" w:eastAsia="fr-FR"/>
        </w:rPr>
        <w:t xml:space="preserve"> from the scope of Article 56 TFEU, Directive 2006/123 and Directive 2000/31.</w:t>
      </w:r>
    </w:p>
    <w:p w:rsidR="00761F1A" w:rsidRDefault="00761F1A" w:rsidP="00E23D27">
      <w:pPr>
        <w:rPr>
          <w:b/>
          <w:sz w:val="24"/>
          <w:szCs w:val="24"/>
          <w:lang w:val="en-US"/>
        </w:rPr>
      </w:pPr>
    </w:p>
    <w:p w:rsidR="00297478" w:rsidRDefault="00297478" w:rsidP="00E23D27">
      <w:pPr>
        <w:rPr>
          <w:b/>
          <w:sz w:val="24"/>
          <w:szCs w:val="24"/>
          <w:lang w:val="en-US"/>
        </w:rPr>
      </w:pPr>
      <w:r>
        <w:rPr>
          <w:b/>
          <w:sz w:val="24"/>
          <w:szCs w:val="24"/>
          <w:lang w:val="en-US"/>
        </w:rPr>
        <w:t xml:space="preserve">Doc. 3 – Network activities </w:t>
      </w:r>
      <w:r w:rsidR="00761F1A">
        <w:rPr>
          <w:b/>
          <w:sz w:val="24"/>
          <w:szCs w:val="24"/>
          <w:lang w:val="en-US"/>
        </w:rPr>
        <w:t xml:space="preserve">– General Court (Trib. UE), 8 </w:t>
      </w:r>
      <w:proofErr w:type="gramStart"/>
      <w:r w:rsidR="00761F1A">
        <w:rPr>
          <w:b/>
          <w:sz w:val="24"/>
          <w:szCs w:val="24"/>
          <w:lang w:val="en-US"/>
        </w:rPr>
        <w:t>february</w:t>
      </w:r>
      <w:proofErr w:type="gramEnd"/>
      <w:r w:rsidR="00761F1A">
        <w:rPr>
          <w:b/>
          <w:sz w:val="24"/>
          <w:szCs w:val="24"/>
          <w:lang w:val="en-US"/>
        </w:rPr>
        <w:t xml:space="preserve"> 2023, T-295/20, Aquind LtD</w:t>
      </w:r>
    </w:p>
    <w:p w:rsidR="00297478" w:rsidRPr="00297478" w:rsidRDefault="00297478" w:rsidP="00761F1A">
      <w:pPr>
        <w:spacing w:before="480" w:after="480" w:line="240" w:lineRule="auto"/>
        <w:jc w:val="center"/>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Judgment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w:t>
      </w:r>
      <w:r w:rsidRPr="00297478">
        <w:rPr>
          <w:rFonts w:ascii="Arial" w:eastAsia="Times New Roman" w:hAnsi="Arial" w:cs="Arial"/>
          <w:color w:val="000000"/>
          <w:sz w:val="18"/>
          <w:szCs w:val="18"/>
          <w:lang w:val="en-US" w:eastAsia="fr-FR"/>
        </w:rPr>
        <w:t>        By their action based on Article 263 TFEU, the applicants, Aquind Ltd, Aquind SAS and Aquind Energy Sàrl, seek annulment of Commission Delegated Regulation (EU) 2020/389 of 31 October 2019 amending Regulation (EU) No 347/2013 of the European Parliament and of the Council as regards the Union list of projects of common interest (OJ 2020 L 74, p. 1; ‘the contested regulation’).</w:t>
      </w:r>
      <w:proofErr w:type="gramEnd"/>
    </w:p>
    <w:p w:rsidR="00297478" w:rsidRPr="00297478" w:rsidRDefault="00297478"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Background to the dispute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w:t>
      </w:r>
      <w:r w:rsidRPr="00297478">
        <w:rPr>
          <w:rFonts w:ascii="Arial" w:eastAsia="Times New Roman" w:hAnsi="Arial" w:cs="Arial"/>
          <w:color w:val="000000"/>
          <w:sz w:val="18"/>
          <w:szCs w:val="18"/>
          <w:lang w:val="en-US" w:eastAsia="fr-FR"/>
        </w:rPr>
        <w:t>        The applicants are the promoters of a proposed electricity interconnector linking the electricity transmission networks of the United Kingdom and France (‘the proposed Aquind interconnector’).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3</w:t>
      </w:r>
      <w:r w:rsidRPr="00297478">
        <w:rPr>
          <w:rFonts w:ascii="Arial" w:eastAsia="Times New Roman" w:hAnsi="Arial" w:cs="Arial"/>
          <w:color w:val="000000"/>
          <w:sz w:val="18"/>
          <w:szCs w:val="18"/>
          <w:lang w:val="en-US" w:eastAsia="fr-FR"/>
        </w:rPr>
        <w:t>        The proposed Aquind interconnector was placed on the list of ‘projects of common interest’ (‘PCIs’) of the European Union by Commission Delegated Regulation (EU) 2018/540 of 23 November 2017 amending Regulation (EU) No 347/2013 of the European Parliament and of the Council as regards the Union list of projects of common interest (OJ 2018 L 90, p. 38), and was thus considered to be a fundamental project in the infrastructure necessary for the completion of the internal energy market.</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The status of a Union PCI enables a promoter of projects, first, to benefit from a procedure for the grant of rationalised, coordinated and accelerated authorisations, secondly, to submit a request for investment and cross-border allocation of costs to the competent national regulatory authorities, in such a way that the efficiently incurred investment costs are recoverable from network users and, thirdly, to seek financing under the Connecting Europe Facility.</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w:t>
      </w:r>
      <w:r w:rsidRPr="00297478">
        <w:rPr>
          <w:rFonts w:ascii="Arial" w:eastAsia="Times New Roman" w:hAnsi="Arial" w:cs="Arial"/>
          <w:color w:val="000000"/>
          <w:sz w:val="18"/>
          <w:szCs w:val="18"/>
          <w:lang w:val="en-US" w:eastAsia="fr-FR"/>
        </w:rPr>
        <w:t xml:space="preserve">        The list established by Delegated Regulation 2018/540 was replaced by the one established by the contested regulation. In the new list in annex to the contested regulation, the proposed Aquind interconnector appears in the table of </w:t>
      </w:r>
      <w:proofErr w:type="gramStart"/>
      <w:r w:rsidRPr="00297478">
        <w:rPr>
          <w:rFonts w:ascii="Arial" w:eastAsia="Times New Roman" w:hAnsi="Arial" w:cs="Arial"/>
          <w:color w:val="000000"/>
          <w:sz w:val="18"/>
          <w:szCs w:val="18"/>
          <w:lang w:val="en-US" w:eastAsia="fr-FR"/>
        </w:rPr>
        <w:t>projects which</w:t>
      </w:r>
      <w:proofErr w:type="gramEnd"/>
      <w:r w:rsidRPr="00297478">
        <w:rPr>
          <w:rFonts w:ascii="Arial" w:eastAsia="Times New Roman" w:hAnsi="Arial" w:cs="Arial"/>
          <w:color w:val="000000"/>
          <w:sz w:val="18"/>
          <w:szCs w:val="18"/>
          <w:lang w:val="en-US" w:eastAsia="fr-FR"/>
        </w:rPr>
        <w:t xml:space="preserve"> are no longer considered to be Union PCIs.</w:t>
      </w:r>
    </w:p>
    <w:p w:rsidR="00297478" w:rsidRPr="00297478" w:rsidRDefault="00297478"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Forms of order sought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w:t>
      </w:r>
      <w:r w:rsidRPr="00297478">
        <w:rPr>
          <w:rFonts w:ascii="Arial" w:eastAsia="Times New Roman" w:hAnsi="Arial" w:cs="Arial"/>
          <w:color w:val="000000"/>
          <w:sz w:val="18"/>
          <w:szCs w:val="18"/>
          <w:lang w:val="en-US" w:eastAsia="fr-FR"/>
        </w:rPr>
        <w:t>        The applicants claim, in essence, that the Court should:</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xml:space="preserve">–        annul the contested regulation </w:t>
      </w:r>
      <w:proofErr w:type="gramStart"/>
      <w:r w:rsidRPr="00297478">
        <w:rPr>
          <w:rFonts w:ascii="Arial" w:eastAsia="Times New Roman" w:hAnsi="Arial" w:cs="Arial"/>
          <w:color w:val="000000"/>
          <w:sz w:val="18"/>
          <w:szCs w:val="18"/>
          <w:lang w:val="en-US" w:eastAsia="fr-FR"/>
        </w:rPr>
        <w:t>in so</w:t>
      </w:r>
      <w:proofErr w:type="gramEnd"/>
      <w:r w:rsidRPr="00297478">
        <w:rPr>
          <w:rFonts w:ascii="Arial" w:eastAsia="Times New Roman" w:hAnsi="Arial" w:cs="Arial"/>
          <w:color w:val="000000"/>
          <w:sz w:val="18"/>
          <w:szCs w:val="18"/>
          <w:lang w:val="en-US" w:eastAsia="fr-FR"/>
        </w:rPr>
        <w:t xml:space="preserve"> far as it removes the proposed Aquind interconnector from the Union list of PCIs;</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proofErr w:type="gramStart"/>
      <w:r w:rsidRPr="00297478">
        <w:rPr>
          <w:rFonts w:ascii="Arial" w:eastAsia="Times New Roman" w:hAnsi="Arial" w:cs="Arial"/>
          <w:color w:val="000000"/>
          <w:sz w:val="18"/>
          <w:szCs w:val="18"/>
          <w:lang w:val="en-US" w:eastAsia="fr-FR"/>
        </w:rPr>
        <w:t>in</w:t>
      </w:r>
      <w:proofErr w:type="gramEnd"/>
      <w:r w:rsidRPr="00297478">
        <w:rPr>
          <w:rFonts w:ascii="Arial" w:eastAsia="Times New Roman" w:hAnsi="Arial" w:cs="Arial"/>
          <w:color w:val="000000"/>
          <w:sz w:val="18"/>
          <w:szCs w:val="18"/>
          <w:lang w:val="en-US" w:eastAsia="fr-FR"/>
        </w:rPr>
        <w:t xml:space="preserve"> the alternative, annul the contested regulation in its entirety; and</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order the European Commission to pay the costs</w:t>
      </w:r>
      <w:proofErr w:type="gramStart"/>
      <w:r w:rsidRPr="00297478">
        <w:rPr>
          <w:rFonts w:ascii="Arial" w:eastAsia="Times New Roman" w:hAnsi="Arial" w:cs="Arial"/>
          <w:color w:val="000000"/>
          <w:sz w:val="18"/>
          <w:szCs w:val="18"/>
          <w:lang w:val="en-US" w:eastAsia="fr-FR"/>
        </w:rPr>
        <w:t>;</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w:t>
      </w:r>
      <w:r w:rsidRPr="00297478">
        <w:rPr>
          <w:rFonts w:ascii="Arial" w:eastAsia="Times New Roman" w:hAnsi="Arial" w:cs="Arial"/>
          <w:color w:val="000000"/>
          <w:sz w:val="18"/>
          <w:szCs w:val="18"/>
          <w:lang w:val="en-US" w:eastAsia="fr-FR"/>
        </w:rPr>
        <w:t>        The Commission and the Kingdom of Spain contend that the Court should:</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dismiss the application</w:t>
      </w:r>
      <w:proofErr w:type="gramStart"/>
      <w:r w:rsidRPr="00297478">
        <w:rPr>
          <w:rFonts w:ascii="Arial" w:eastAsia="Times New Roman" w:hAnsi="Arial" w:cs="Arial"/>
          <w:color w:val="000000"/>
          <w:sz w:val="18"/>
          <w:szCs w:val="18"/>
          <w:lang w:val="en-US" w:eastAsia="fr-FR"/>
        </w:rPr>
        <w:t>;</w:t>
      </w:r>
      <w:proofErr w:type="gramEnd"/>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order the applicants to pay the costs.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7</w:t>
      </w:r>
      <w:r w:rsidRPr="00297478">
        <w:rPr>
          <w:rFonts w:ascii="Arial" w:eastAsia="Times New Roman" w:hAnsi="Arial" w:cs="Arial"/>
          <w:color w:val="000000"/>
          <w:sz w:val="18"/>
          <w:szCs w:val="18"/>
          <w:lang w:val="en-US" w:eastAsia="fr-FR"/>
        </w:rPr>
        <w:t>        The French Republic contends that the Court should dismiss the action.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w:t>
      </w:r>
      <w:r w:rsidRPr="00297478">
        <w:rPr>
          <w:rFonts w:ascii="Arial" w:eastAsia="Times New Roman" w:hAnsi="Arial" w:cs="Arial"/>
          <w:color w:val="000000"/>
          <w:sz w:val="18"/>
          <w:szCs w:val="18"/>
          <w:lang w:val="en-US" w:eastAsia="fr-FR"/>
        </w:rPr>
        <w:t>        The Federal Republic of Germany contends that the Court should dismiss the action at least in so far as it concerns Article 10(1) of the Energy Charter Treaty, signed in Lisbon on 17 December 1994 (OJ 1994 L 380, p. 24), and clarify the issue of the inapplicability of Article 26 of that charter in intra-EU relations.</w:t>
      </w:r>
    </w:p>
    <w:p w:rsidR="00297478" w:rsidRPr="00297478" w:rsidRDefault="00297478"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Law</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lastRenderedPageBreak/>
        <w:t>9</w:t>
      </w:r>
      <w:r w:rsidRPr="00297478">
        <w:rPr>
          <w:rFonts w:ascii="Arial" w:eastAsia="Times New Roman" w:hAnsi="Arial" w:cs="Arial"/>
          <w:color w:val="000000"/>
          <w:sz w:val="18"/>
          <w:szCs w:val="18"/>
          <w:lang w:val="en-US" w:eastAsia="fr-FR"/>
        </w:rPr>
        <w:t>        In support of their action, the applicants rely on seven pleas in law, alleging, first, infringement of the obligation to state reasons, second, infringement of the procedural and substantive requirements laid down in Regulation (EU) No 347/2013 of the European Parliament and of the Council of 17 April 2013 on guidelines for trans-European energy infrastructure and repealing Decision No 1364/2006/EC and amending Regulations (EC) No 713/2009, (EC) No 714/2009 and (EC) No 715/2009 (OJ 2013 L 115, p. 39), in particular Article 5(8), third, infringement of Article 10(1) of the Energy Charter Treaty, fourth, infringement of the right to good administration laid down in Article 41 of the Charter of Fundamental Rights of the European Union (‘the Charter’), fifth, infringement of the principle of equal treatment, sixth, infringement of the principle of proportionality and, seventh, infringement of the principles of legal certainty and the protection of legitimate expectations.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w:t>
      </w:r>
      <w:r w:rsidRPr="00297478">
        <w:rPr>
          <w:rFonts w:ascii="Arial" w:eastAsia="Times New Roman" w:hAnsi="Arial" w:cs="Arial"/>
          <w:color w:val="000000"/>
          <w:sz w:val="18"/>
          <w:szCs w:val="18"/>
          <w:lang w:val="en-US" w:eastAsia="fr-FR"/>
        </w:rPr>
        <w:t>      The Court considers it appropriate to examine together the fourth and fifth pleas, alleging, respectively, infringement of the right to good administration and infringement of the principle of equal treatment, and not to examine until last the third plea, alleging infringement of Article 10(1) of the Energy Charter Treaty.</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first plea in law, alleging infringement of the obligation to state reasons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w:t>
      </w:r>
      <w:r w:rsidRPr="00297478">
        <w:rPr>
          <w:rFonts w:ascii="Arial" w:eastAsia="Times New Roman" w:hAnsi="Arial" w:cs="Arial"/>
          <w:color w:val="000000"/>
          <w:sz w:val="18"/>
          <w:szCs w:val="18"/>
          <w:lang w:val="en-US" w:eastAsia="fr-FR"/>
        </w:rPr>
        <w:t xml:space="preserve">      By the first plea, the applicants allege infringement of the obligation to state reasons. The removal of the proposed Aquind interconnector is not explained either in the contested regulation or in the accompanying statement of reasons, or even in the Commission </w:t>
      </w:r>
      <w:proofErr w:type="gramStart"/>
      <w:r w:rsidRPr="00297478">
        <w:rPr>
          <w:rFonts w:ascii="Arial" w:eastAsia="Times New Roman" w:hAnsi="Arial" w:cs="Arial"/>
          <w:color w:val="000000"/>
          <w:sz w:val="18"/>
          <w:szCs w:val="18"/>
          <w:lang w:val="en-US" w:eastAsia="fr-FR"/>
        </w:rPr>
        <w:t>staff working</w:t>
      </w:r>
      <w:proofErr w:type="gramEnd"/>
      <w:r w:rsidRPr="00297478">
        <w:rPr>
          <w:rFonts w:ascii="Arial" w:eastAsia="Times New Roman" w:hAnsi="Arial" w:cs="Arial"/>
          <w:color w:val="000000"/>
          <w:sz w:val="18"/>
          <w:szCs w:val="18"/>
          <w:lang w:val="en-US" w:eastAsia="fr-FR"/>
        </w:rPr>
        <w:t xml:space="preserve"> document accompanying the contested regulation.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12</w:t>
      </w:r>
      <w:r w:rsidRPr="00297478">
        <w:rPr>
          <w:rFonts w:ascii="Arial" w:eastAsia="Times New Roman" w:hAnsi="Arial" w:cs="Arial"/>
          <w:color w:val="000000"/>
          <w:sz w:val="18"/>
          <w:szCs w:val="18"/>
          <w:lang w:val="en-US" w:eastAsia="fr-FR"/>
        </w:rPr>
        <w:t>      The Commission, supported by the Kingdom of Spain and the French Republic, disputes that plea.</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13</w:t>
      </w:r>
      <w:r w:rsidRPr="00297478">
        <w:rPr>
          <w:rFonts w:ascii="Arial" w:eastAsia="Times New Roman" w:hAnsi="Arial" w:cs="Arial"/>
          <w:color w:val="000000"/>
          <w:sz w:val="18"/>
          <w:szCs w:val="18"/>
          <w:lang w:val="en-US" w:eastAsia="fr-FR"/>
        </w:rPr>
        <w:t xml:space="preserve">      First of all, according to the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the statement of reasons required by Article 296 TFEU must be appropriate to the act at issue and the context in which it was adopted. </w:t>
      </w:r>
      <w:proofErr w:type="gramStart"/>
      <w:r w:rsidRPr="00297478">
        <w:rPr>
          <w:rFonts w:ascii="Arial" w:eastAsia="Times New Roman" w:hAnsi="Arial" w:cs="Arial"/>
          <w:color w:val="000000"/>
          <w:sz w:val="18"/>
          <w:szCs w:val="18"/>
          <w:lang w:val="en-US" w:eastAsia="fr-FR"/>
        </w:rPr>
        <w:t>The requirements to be satisfied by the statement of reasons depend on the circumstances of each case, in particular the content of the measure in question, the nature of the reasons given and the interest which the addressees of the measure, or other parties to whom it is of concern, for the purposes of the fourth paragraph of Article 263 TFEU, may have in obtaining explanations.</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It is not necessary for the reasoning to go into all the relevant facts and points of law, inasmuch as the question whether the statement of reasons for a measure meets the requirements of Article 296 TFEU must be assessed with regard not only to its wording but also to its context and to all the legal rules governing the matter in question (judgment of 29 September 2011, </w:t>
      </w:r>
      <w:r w:rsidRPr="00297478">
        <w:rPr>
          <w:rFonts w:ascii="Arial" w:eastAsia="Times New Roman" w:hAnsi="Arial" w:cs="Arial"/>
          <w:i/>
          <w:iCs/>
          <w:color w:val="000000"/>
          <w:sz w:val="18"/>
          <w:szCs w:val="18"/>
          <w:lang w:val="en-US" w:eastAsia="fr-FR"/>
        </w:rPr>
        <w:t>Elf Aquitaine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521/09 P, EU:C:2011:620, paragraph 150; see, also, judgment of 15 November 2012, </w:t>
      </w:r>
      <w:r w:rsidRPr="00297478">
        <w:rPr>
          <w:rFonts w:ascii="Arial" w:eastAsia="Times New Roman" w:hAnsi="Arial" w:cs="Arial"/>
          <w:i/>
          <w:iCs/>
          <w:color w:val="000000"/>
          <w:sz w:val="18"/>
          <w:szCs w:val="18"/>
          <w:lang w:val="en-US" w:eastAsia="fr-FR"/>
        </w:rPr>
        <w:t>Council</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Bamba</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417/11 P, EU:C:2012:718, paragraph 53 and the case-law cited; judgment of 10 June 2020, </w:t>
      </w:r>
      <w:r w:rsidRPr="00297478">
        <w:rPr>
          <w:rFonts w:ascii="Arial" w:eastAsia="Times New Roman" w:hAnsi="Arial" w:cs="Arial"/>
          <w:i/>
          <w:iCs/>
          <w:color w:val="000000"/>
          <w:sz w:val="18"/>
          <w:szCs w:val="18"/>
          <w:lang w:val="en-US" w:eastAsia="fr-FR"/>
        </w:rPr>
        <w:t>Spliethoff’s Bevrachtingskantoor</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564/15 RENV, not published, EU:T:2020:252, paragraph 108).</w:t>
      </w:r>
      <w:proofErr w:type="gramEnd"/>
      <w:r w:rsidRPr="00297478">
        <w:rPr>
          <w:rFonts w:ascii="Arial" w:eastAsia="Times New Roman" w:hAnsi="Arial" w:cs="Arial"/>
          <w:color w:val="000000"/>
          <w:sz w:val="18"/>
          <w:szCs w:val="18"/>
          <w:lang w:val="en-US" w:eastAsia="fr-FR"/>
        </w:rPr>
        <w:t xml:space="preserve"> In particular, the reasons given for a measure adversely affecting a person are sufficient if it was adopted in circumstances known to that person, which enable that person to understand the scope of the measure concerning him or her (judgment of 18 October 2018, </w:t>
      </w:r>
      <w:r w:rsidRPr="00297478">
        <w:rPr>
          <w:rFonts w:ascii="Arial" w:eastAsia="Times New Roman" w:hAnsi="Arial" w:cs="Arial"/>
          <w:i/>
          <w:iCs/>
          <w:color w:val="000000"/>
          <w:sz w:val="18"/>
          <w:szCs w:val="18"/>
          <w:lang w:val="en-US" w:eastAsia="fr-FR"/>
        </w:rPr>
        <w:t>Terna</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387/16, EU:T:2018:699, paragraph 53).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14</w:t>
      </w:r>
      <w:r w:rsidRPr="00297478">
        <w:rPr>
          <w:rFonts w:ascii="Arial" w:eastAsia="Times New Roman" w:hAnsi="Arial" w:cs="Arial"/>
          <w:color w:val="000000"/>
          <w:sz w:val="18"/>
          <w:szCs w:val="18"/>
          <w:lang w:val="en-US" w:eastAsia="fr-FR"/>
        </w:rPr>
        <w:t>      Next, the interest which the applicants may have in receiving explanations must be taken into account when assessing the extent of the obligation to state reasons for the decisions in question (see, to that effect, judgment of 28 November 2019, </w:t>
      </w:r>
      <w:r w:rsidRPr="00297478">
        <w:rPr>
          <w:rFonts w:ascii="Arial" w:eastAsia="Times New Roman" w:hAnsi="Arial" w:cs="Arial"/>
          <w:i/>
          <w:iCs/>
          <w:color w:val="000000"/>
          <w:sz w:val="18"/>
          <w:szCs w:val="18"/>
          <w:lang w:val="en-US" w:eastAsia="fr-FR"/>
        </w:rPr>
        <w:t>Portigon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SRB</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 xml:space="preserve">365/16, EU:T:2019:824, paragraph 164). The obligation to state reasons is the corollary of the principle of respect for the rights of the defence. </w:t>
      </w:r>
      <w:proofErr w:type="gramStart"/>
      <w:r w:rsidRPr="00297478">
        <w:rPr>
          <w:rFonts w:ascii="Arial" w:eastAsia="Times New Roman" w:hAnsi="Arial" w:cs="Arial"/>
          <w:color w:val="000000"/>
          <w:sz w:val="18"/>
          <w:szCs w:val="18"/>
          <w:lang w:val="en-US" w:eastAsia="fr-FR"/>
        </w:rPr>
        <w:t>Thus, the purpose of the obligation to state the reasons for an act adversely affecting a person is, first, to provide the person concerned with sufficient information to make it possible to determine whether the act is well founded or whether it is vitiated by an error which may permit its validity to be contested before the Courts of the European Union and, secondly, to enable those Courts to review the legality of that act (judgment of 28 June 2005, </w:t>
      </w:r>
      <w:r w:rsidRPr="00297478">
        <w:rPr>
          <w:rFonts w:ascii="Arial" w:eastAsia="Times New Roman" w:hAnsi="Arial" w:cs="Arial"/>
          <w:i/>
          <w:iCs/>
          <w:color w:val="000000"/>
          <w:sz w:val="18"/>
          <w:szCs w:val="18"/>
          <w:lang w:val="en-US" w:eastAsia="fr-FR"/>
        </w:rPr>
        <w:t>Dansk Rørindustri and Others</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189/02 P, C</w:t>
      </w:r>
      <w:r w:rsidRPr="00297478">
        <w:rPr>
          <w:rFonts w:ascii="Arial" w:eastAsia="Times New Roman" w:hAnsi="Arial" w:cs="Arial"/>
          <w:color w:val="000000"/>
          <w:sz w:val="18"/>
          <w:szCs w:val="18"/>
          <w:lang w:val="en-US" w:eastAsia="fr-FR"/>
        </w:rPr>
        <w:noBreakHyphen/>
        <w:t>202/02 P, C</w:t>
      </w:r>
      <w:r w:rsidRPr="00297478">
        <w:rPr>
          <w:rFonts w:ascii="Arial" w:eastAsia="Times New Roman" w:hAnsi="Arial" w:cs="Arial"/>
          <w:color w:val="000000"/>
          <w:sz w:val="18"/>
          <w:szCs w:val="18"/>
          <w:lang w:val="en-US" w:eastAsia="fr-FR"/>
        </w:rPr>
        <w:noBreakHyphen/>
        <w:t>205/02 P to C</w:t>
      </w:r>
      <w:r w:rsidRPr="00297478">
        <w:rPr>
          <w:rFonts w:ascii="Arial" w:eastAsia="Times New Roman" w:hAnsi="Arial" w:cs="Arial"/>
          <w:color w:val="000000"/>
          <w:sz w:val="18"/>
          <w:szCs w:val="18"/>
          <w:lang w:val="en-US" w:eastAsia="fr-FR"/>
        </w:rPr>
        <w:noBreakHyphen/>
        <w:t>208/02 P and C</w:t>
      </w:r>
      <w:r w:rsidRPr="00297478">
        <w:rPr>
          <w:rFonts w:ascii="Arial" w:eastAsia="Times New Roman" w:hAnsi="Arial" w:cs="Arial"/>
          <w:color w:val="000000"/>
          <w:sz w:val="18"/>
          <w:szCs w:val="18"/>
          <w:lang w:val="en-US" w:eastAsia="fr-FR"/>
        </w:rPr>
        <w:noBreakHyphen/>
        <w:t>213/02 P, EU:C:2005:408, paragraph 462).</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15</w:t>
      </w:r>
      <w:r w:rsidRPr="00297478">
        <w:rPr>
          <w:rFonts w:ascii="Arial" w:eastAsia="Times New Roman" w:hAnsi="Arial" w:cs="Arial"/>
          <w:color w:val="000000"/>
          <w:sz w:val="18"/>
          <w:szCs w:val="18"/>
          <w:lang w:val="en-US" w:eastAsia="fr-FR"/>
        </w:rPr>
        <w:t>      Lastly, a statement of reasons may be implicit, on condition that it enables the persons concerned to know why the measures in question were taken and provides the Court with sufficient material for it to exercise its power of review (judgment of 13 July 2011, </w:t>
      </w:r>
      <w:r w:rsidRPr="00297478">
        <w:rPr>
          <w:rFonts w:ascii="Arial" w:eastAsia="Times New Roman" w:hAnsi="Arial" w:cs="Arial"/>
          <w:i/>
          <w:iCs/>
          <w:color w:val="000000"/>
          <w:sz w:val="18"/>
          <w:szCs w:val="18"/>
          <w:lang w:val="en-US" w:eastAsia="fr-FR"/>
        </w:rPr>
        <w:t>General Technic-Otis and Others</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141/07, T</w:t>
      </w:r>
      <w:r w:rsidRPr="00297478">
        <w:rPr>
          <w:rFonts w:ascii="Arial" w:eastAsia="Times New Roman" w:hAnsi="Arial" w:cs="Arial"/>
          <w:color w:val="000000"/>
          <w:sz w:val="18"/>
          <w:szCs w:val="18"/>
          <w:lang w:val="en-US" w:eastAsia="fr-FR"/>
        </w:rPr>
        <w:noBreakHyphen/>
        <w:t>142/07, T</w:t>
      </w:r>
      <w:r w:rsidRPr="00297478">
        <w:rPr>
          <w:rFonts w:ascii="Arial" w:eastAsia="Times New Roman" w:hAnsi="Arial" w:cs="Arial"/>
          <w:color w:val="000000"/>
          <w:sz w:val="18"/>
          <w:szCs w:val="18"/>
          <w:lang w:val="en-US" w:eastAsia="fr-FR"/>
        </w:rPr>
        <w:noBreakHyphen/>
        <w:t>145/07 and T</w:t>
      </w:r>
      <w:r w:rsidRPr="00297478">
        <w:rPr>
          <w:rFonts w:ascii="Arial" w:eastAsia="Times New Roman" w:hAnsi="Arial" w:cs="Arial"/>
          <w:color w:val="000000"/>
          <w:sz w:val="18"/>
          <w:szCs w:val="18"/>
          <w:lang w:val="en-US" w:eastAsia="fr-FR"/>
        </w:rPr>
        <w:noBreakHyphen/>
        <w:t>146/07, EU:T:2011:363, paragraph 302).</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16</w:t>
      </w:r>
      <w:r w:rsidRPr="00297478">
        <w:rPr>
          <w:rFonts w:ascii="Arial" w:eastAsia="Times New Roman" w:hAnsi="Arial" w:cs="Arial"/>
          <w:color w:val="000000"/>
          <w:sz w:val="18"/>
          <w:szCs w:val="18"/>
          <w:lang w:val="en-US" w:eastAsia="fr-FR"/>
        </w:rPr>
        <w:t xml:space="preserve">      It is in the light of those factors that the first plea in law </w:t>
      </w:r>
      <w:proofErr w:type="gramStart"/>
      <w:r w:rsidRPr="00297478">
        <w:rPr>
          <w:rFonts w:ascii="Arial" w:eastAsia="Times New Roman" w:hAnsi="Arial" w:cs="Arial"/>
          <w:color w:val="000000"/>
          <w:sz w:val="18"/>
          <w:szCs w:val="18"/>
          <w:lang w:val="en-US" w:eastAsia="fr-FR"/>
        </w:rPr>
        <w:t>must be examined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17</w:t>
      </w:r>
      <w:r w:rsidRPr="00297478">
        <w:rPr>
          <w:rFonts w:ascii="Arial" w:eastAsia="Times New Roman" w:hAnsi="Arial" w:cs="Arial"/>
          <w:color w:val="000000"/>
          <w:sz w:val="18"/>
          <w:szCs w:val="18"/>
          <w:lang w:val="en-US" w:eastAsia="fr-FR"/>
        </w:rPr>
        <w:t>      In the first place, it is necessary to determine both the reasons why the Commission did not include the proposed Aquind interconnector as a Union PCI in the contested regulation and where those reasons are set out.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18</w:t>
      </w:r>
      <w:r w:rsidRPr="00297478">
        <w:rPr>
          <w:rFonts w:ascii="Arial" w:eastAsia="Times New Roman" w:hAnsi="Arial" w:cs="Arial"/>
          <w:color w:val="000000"/>
          <w:sz w:val="18"/>
          <w:szCs w:val="18"/>
          <w:lang w:val="en-US" w:eastAsia="fr-FR"/>
        </w:rPr>
        <w:t>      First, the recitals of the contested regulation contain a brief summary of the content of Regulation No 347/2013, they refer to the Commission’s power to adopt delegated acts in order to draw up the Union list of PCIs, they reiterate the obligation to draw up a new list every two years and they state that the projects proposed for inclusion in the Union list of PCIs were evaluated by the regional groups and that those groups confirmed that the projects in question satisfied the criteria set out in Article 4 of Regulation No 347/2013.</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lastRenderedPageBreak/>
        <w:t>19</w:t>
      </w:r>
      <w:r w:rsidRPr="00297478">
        <w:rPr>
          <w:rFonts w:ascii="Arial" w:eastAsia="Times New Roman" w:hAnsi="Arial" w:cs="Arial"/>
          <w:color w:val="000000"/>
          <w:sz w:val="18"/>
          <w:szCs w:val="18"/>
          <w:lang w:val="en-US" w:eastAsia="fr-FR"/>
        </w:rPr>
        <w:t>      The contested regulation makes a general reference to the FEU Treaty and to Regulation No 347/2013 in its two citations.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20</w:t>
      </w:r>
      <w:r w:rsidRPr="00297478">
        <w:rPr>
          <w:rFonts w:ascii="Arial" w:eastAsia="Times New Roman" w:hAnsi="Arial" w:cs="Arial"/>
          <w:color w:val="000000"/>
          <w:sz w:val="18"/>
          <w:szCs w:val="18"/>
          <w:lang w:val="en-US" w:eastAsia="fr-FR"/>
        </w:rPr>
        <w:t>      Recital 5 of the contested regulation specifies that ‘the draft regional lists [had been] agreed by the regional groups at technical-level meetings’ and that, ‘following the opinions of the [European Union] Agency for the Cooperation of Energy Regulators (‘ACER’) … on the consistent application of the assessment criteria and of the cost/benefit analysis across regions, the regional groups’ decision-making bodies adopted the regional lists on 4 October 2019’.</w:t>
      </w:r>
      <w:proofErr w:type="gramEnd"/>
      <w:r w:rsidRPr="00297478">
        <w:rPr>
          <w:rFonts w:ascii="Arial" w:eastAsia="Times New Roman" w:hAnsi="Arial" w:cs="Arial"/>
          <w:color w:val="000000"/>
          <w:sz w:val="18"/>
          <w:szCs w:val="18"/>
          <w:lang w:val="en-US" w:eastAsia="fr-FR"/>
        </w:rPr>
        <w:t xml:space="preserve"> It also stated that ‘pursuant to Article 3(3</w:t>
      </w:r>
      <w:proofErr w:type="gramStart"/>
      <w:r w:rsidRPr="00297478">
        <w:rPr>
          <w:rFonts w:ascii="Arial" w:eastAsia="Times New Roman" w:hAnsi="Arial" w:cs="Arial"/>
          <w:color w:val="000000"/>
          <w:sz w:val="18"/>
          <w:szCs w:val="18"/>
          <w:lang w:val="en-US" w:eastAsia="fr-FR"/>
        </w:rPr>
        <w:t>)(</w:t>
      </w:r>
      <w:proofErr w:type="gramEnd"/>
      <w:r w:rsidRPr="00297478">
        <w:rPr>
          <w:rFonts w:ascii="Arial" w:eastAsia="Times New Roman" w:hAnsi="Arial" w:cs="Arial"/>
          <w:color w:val="000000"/>
          <w:sz w:val="18"/>
          <w:szCs w:val="18"/>
          <w:lang w:val="en-US" w:eastAsia="fr-FR"/>
        </w:rPr>
        <w:t>a) of Regulation … No 347/2013, prior to the adoption of the regional lists, all proposed projects [had been] approved by the Member States to whose territory the projects relate’.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21</w:t>
      </w:r>
      <w:r w:rsidRPr="00297478">
        <w:rPr>
          <w:rFonts w:ascii="Arial" w:eastAsia="Times New Roman" w:hAnsi="Arial" w:cs="Arial"/>
          <w:color w:val="000000"/>
          <w:sz w:val="18"/>
          <w:szCs w:val="18"/>
          <w:lang w:val="en-US" w:eastAsia="fr-FR"/>
        </w:rPr>
        <w:t>      Part A of Annex VII to Regulation No 347/2013 (as amended by the contested regulation), entitled ‘Principles applied in establishing the Union list [of PCIs]’, contains paragraph 3, entitled ‘Projects that are no longer considered PCIs …</w:t>
      </w:r>
      <w:proofErr w:type="gramStart"/>
      <w:r w:rsidRPr="00297478">
        <w:rPr>
          <w:rFonts w:ascii="Arial" w:eastAsia="Times New Roman" w:hAnsi="Arial" w:cs="Arial"/>
          <w:color w:val="000000"/>
          <w:sz w:val="18"/>
          <w:szCs w:val="18"/>
          <w:lang w:val="en-US" w:eastAsia="fr-FR"/>
        </w:rPr>
        <w:t>’.</w:t>
      </w:r>
      <w:proofErr w:type="gramEnd"/>
      <w:r w:rsidRPr="00297478">
        <w:rPr>
          <w:rFonts w:ascii="Arial" w:eastAsia="Times New Roman" w:hAnsi="Arial" w:cs="Arial"/>
          <w:color w:val="000000"/>
          <w:sz w:val="18"/>
          <w:szCs w:val="18"/>
          <w:lang w:val="en-US" w:eastAsia="fr-FR"/>
        </w:rPr>
        <w:t xml:space="preserve"> In paragraph 3, the Commission stated the following:</w:t>
      </w:r>
    </w:p>
    <w:p w:rsidR="00297478" w:rsidRPr="00297478" w:rsidRDefault="00297478" w:rsidP="00761F1A">
      <w:pPr>
        <w:spacing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‘(a)      Several projects included in the Union lists established by Regulation (EU) No 1391/2013 and Regulation (EU) 2016/89 [were] no longer considered [Union] PCIs for one or more of the following reasons:</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the project has already been commissioned or is to be commissioned in the near future and so it would not benefit from the provisions of Regulation (EU) No 347/2013;</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proofErr w:type="gramStart"/>
      <w:r w:rsidRPr="00297478">
        <w:rPr>
          <w:rFonts w:ascii="Arial" w:eastAsia="Times New Roman" w:hAnsi="Arial" w:cs="Arial"/>
          <w:color w:val="000000"/>
          <w:sz w:val="18"/>
          <w:szCs w:val="18"/>
          <w:lang w:val="en-US" w:eastAsia="fr-FR"/>
        </w:rPr>
        <w:t>according</w:t>
      </w:r>
      <w:proofErr w:type="gramEnd"/>
      <w:r w:rsidRPr="00297478">
        <w:rPr>
          <w:rFonts w:ascii="Arial" w:eastAsia="Times New Roman" w:hAnsi="Arial" w:cs="Arial"/>
          <w:color w:val="000000"/>
          <w:sz w:val="18"/>
          <w:szCs w:val="18"/>
          <w:lang w:val="en-US" w:eastAsia="fr-FR"/>
        </w:rPr>
        <w:t xml:space="preserve"> to new data the project does not satisfy the general criteria;</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proofErr w:type="gramStart"/>
      <w:r w:rsidRPr="00297478">
        <w:rPr>
          <w:rFonts w:ascii="Arial" w:eastAsia="Times New Roman" w:hAnsi="Arial" w:cs="Arial"/>
          <w:color w:val="000000"/>
          <w:sz w:val="18"/>
          <w:szCs w:val="18"/>
          <w:lang w:val="en-US" w:eastAsia="fr-FR"/>
        </w:rPr>
        <w:t>a</w:t>
      </w:r>
      <w:proofErr w:type="gramEnd"/>
      <w:r w:rsidRPr="00297478">
        <w:rPr>
          <w:rFonts w:ascii="Arial" w:eastAsia="Times New Roman" w:hAnsi="Arial" w:cs="Arial"/>
          <w:color w:val="000000"/>
          <w:sz w:val="18"/>
          <w:szCs w:val="18"/>
          <w:lang w:val="en-US" w:eastAsia="fr-FR"/>
        </w:rPr>
        <w:t xml:space="preserve"> promoter has not re-submitted the project in the selection process for this Union list [of PCIs]; or</w:t>
      </w:r>
    </w:p>
    <w:p w:rsidR="00297478" w:rsidRPr="00297478" w:rsidRDefault="00297478" w:rsidP="00761F1A">
      <w:pPr>
        <w:spacing w:before="100" w:beforeAutospacing="1" w:after="240" w:line="240" w:lineRule="auto"/>
        <w:ind w:hanging="567"/>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        </w:t>
      </w:r>
      <w:proofErr w:type="gramStart"/>
      <w:r w:rsidRPr="00297478">
        <w:rPr>
          <w:rFonts w:ascii="Arial" w:eastAsia="Times New Roman" w:hAnsi="Arial" w:cs="Arial"/>
          <w:color w:val="000000"/>
          <w:sz w:val="18"/>
          <w:szCs w:val="18"/>
          <w:lang w:val="en-US" w:eastAsia="fr-FR"/>
        </w:rPr>
        <w:t>the</w:t>
      </w:r>
      <w:proofErr w:type="gramEnd"/>
      <w:r w:rsidRPr="00297478">
        <w:rPr>
          <w:rFonts w:ascii="Arial" w:eastAsia="Times New Roman" w:hAnsi="Arial" w:cs="Arial"/>
          <w:color w:val="000000"/>
          <w:sz w:val="18"/>
          <w:szCs w:val="18"/>
          <w:lang w:val="en-US" w:eastAsia="fr-FR"/>
        </w:rPr>
        <w:t xml:space="preserve"> project was ranked lower than other candidate PCIs in the selection process.</w:t>
      </w:r>
    </w:p>
    <w:p w:rsidR="00297478" w:rsidRPr="00297478" w:rsidRDefault="00297478"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22</w:t>
      </w:r>
      <w:r w:rsidRPr="00297478">
        <w:rPr>
          <w:rFonts w:ascii="Arial" w:eastAsia="Times New Roman" w:hAnsi="Arial" w:cs="Arial"/>
          <w:color w:val="000000"/>
          <w:sz w:val="18"/>
          <w:szCs w:val="18"/>
          <w:lang w:val="en-US" w:eastAsia="fr-FR"/>
        </w:rPr>
        <w:t>      The applicants are correct in stating that, among those four reasons, the second – which states ‘according to new data the project does not satisfy the general criteria’ – is the only one which could possibly have justified not including the proposed Aquind interconnector in the Union list of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23</w:t>
      </w:r>
      <w:r w:rsidRPr="00297478">
        <w:rPr>
          <w:rFonts w:ascii="Arial" w:eastAsia="Times New Roman" w:hAnsi="Arial" w:cs="Arial"/>
          <w:color w:val="000000"/>
          <w:sz w:val="18"/>
          <w:szCs w:val="18"/>
          <w:lang w:val="en-US" w:eastAsia="fr-FR"/>
        </w:rPr>
        <w:t xml:space="preserve">      However, the concept of ‘general criteria’ in the second reason in question is rather vague. </w:t>
      </w:r>
      <w:proofErr w:type="gramStart"/>
      <w:r w:rsidRPr="00297478">
        <w:rPr>
          <w:rFonts w:ascii="Arial" w:eastAsia="Times New Roman" w:hAnsi="Arial" w:cs="Arial"/>
          <w:color w:val="000000"/>
          <w:sz w:val="18"/>
          <w:szCs w:val="18"/>
          <w:lang w:val="en-US" w:eastAsia="fr-FR"/>
        </w:rPr>
        <w:t>It is not clear whether that concept is limited to the one in Article 4(1) of Regulation No 347/2013 – and, therefore, to the conditions set out in that provision, which must be satisfied by PCI projects – or whether the expression ‘general criteria’ covers, in addition to the conditions laid down in that provision, all the conditions which a project must satisfy in order to be included in the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24</w:t>
      </w:r>
      <w:r w:rsidRPr="00297478">
        <w:rPr>
          <w:rFonts w:ascii="Arial" w:eastAsia="Times New Roman" w:hAnsi="Arial" w:cs="Arial"/>
          <w:color w:val="000000"/>
          <w:sz w:val="18"/>
          <w:szCs w:val="18"/>
          <w:lang w:val="en-US" w:eastAsia="fr-FR"/>
        </w:rPr>
        <w:t xml:space="preserve">      Secondly, it </w:t>
      </w:r>
      <w:proofErr w:type="gramStart"/>
      <w:r w:rsidRPr="00297478">
        <w:rPr>
          <w:rFonts w:ascii="Arial" w:eastAsia="Times New Roman" w:hAnsi="Arial" w:cs="Arial"/>
          <w:color w:val="000000"/>
          <w:sz w:val="18"/>
          <w:szCs w:val="18"/>
          <w:lang w:val="en-US" w:eastAsia="fr-FR"/>
        </w:rPr>
        <w:t>should be noted</w:t>
      </w:r>
      <w:proofErr w:type="gramEnd"/>
      <w:r w:rsidRPr="00297478">
        <w:rPr>
          <w:rFonts w:ascii="Arial" w:eastAsia="Times New Roman" w:hAnsi="Arial" w:cs="Arial"/>
          <w:color w:val="000000"/>
          <w:sz w:val="18"/>
          <w:szCs w:val="18"/>
          <w:lang w:val="en-US" w:eastAsia="fr-FR"/>
        </w:rPr>
        <w:t xml:space="preserve"> that, in its written pleadings, the Commission stated that the reason why it had not included the proposed Aquind interconnector as a Union PCI in the contested regulation concerned the French Republic’s refusal to give its approval to the inclusion of that project in the Union list of PCIs. It stated that the French Republic had justified its refusal by the existence of a risk of overcapacity </w:t>
      </w:r>
      <w:proofErr w:type="gramStart"/>
      <w:r w:rsidRPr="00297478">
        <w:rPr>
          <w:rFonts w:ascii="Arial" w:eastAsia="Times New Roman" w:hAnsi="Arial" w:cs="Arial"/>
          <w:color w:val="000000"/>
          <w:sz w:val="18"/>
          <w:szCs w:val="18"/>
          <w:lang w:val="en-US" w:eastAsia="fr-FR"/>
        </w:rPr>
        <w:t>on account</w:t>
      </w:r>
      <w:proofErr w:type="gramEnd"/>
      <w:r w:rsidRPr="00297478">
        <w:rPr>
          <w:rFonts w:ascii="Arial" w:eastAsia="Times New Roman" w:hAnsi="Arial" w:cs="Arial"/>
          <w:color w:val="000000"/>
          <w:sz w:val="18"/>
          <w:szCs w:val="18"/>
          <w:lang w:val="en-US" w:eastAsia="fr-FR"/>
        </w:rPr>
        <w:t xml:space="preserve"> of the existence of several projects in the same region and by the fact that the proposed Aquind interconnector was considered to be the most uncertain. However, the Commission accepts that the contested regulation does not contain any reference to the French Republic’s refusal or, a fortiori, to the reasons why the latter refused to give its agreement.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25</w:t>
      </w:r>
      <w:r w:rsidRPr="00297478">
        <w:rPr>
          <w:rFonts w:ascii="Arial" w:eastAsia="Times New Roman" w:hAnsi="Arial" w:cs="Arial"/>
          <w:color w:val="000000"/>
          <w:sz w:val="18"/>
          <w:szCs w:val="18"/>
          <w:lang w:val="en-US" w:eastAsia="fr-FR"/>
        </w:rPr>
        <w:t>      In the second place, it is therefore necessary to examine whether, despite that lack of an explicit reference to the reason for the French Republic’s refusal in the contested regulation, the applicants were in a position to know the reasons why their proposed Aquind interconnector had not been included in the Union list of PCIs. That involves determining whether, for the purposes of the case-law cited in paragraph 13 above, the project was not included in circumstances known to the applicants which would enable them to understand the scope of the measure taken concerning them, and whether the view may be taken that there was implied reasoning in the contested regulation.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26</w:t>
      </w:r>
      <w:r w:rsidRPr="00297478">
        <w:rPr>
          <w:rFonts w:ascii="Arial" w:eastAsia="Times New Roman" w:hAnsi="Arial" w:cs="Arial"/>
          <w:color w:val="000000"/>
          <w:sz w:val="18"/>
          <w:szCs w:val="18"/>
          <w:lang w:val="en-US" w:eastAsia="fr-FR"/>
        </w:rPr>
        <w:t xml:space="preserve">      First, the applicants cannot disregard the regulatory framework within which the contested regulation </w:t>
      </w:r>
      <w:proofErr w:type="gramStart"/>
      <w:r w:rsidRPr="00297478">
        <w:rPr>
          <w:rFonts w:ascii="Arial" w:eastAsia="Times New Roman" w:hAnsi="Arial" w:cs="Arial"/>
          <w:color w:val="000000"/>
          <w:sz w:val="18"/>
          <w:szCs w:val="18"/>
          <w:lang w:val="en-US" w:eastAsia="fr-FR"/>
        </w:rPr>
        <w:t>was adopted</w:t>
      </w:r>
      <w:proofErr w:type="gramEnd"/>
      <w:r w:rsidRPr="00297478">
        <w:rPr>
          <w:rFonts w:ascii="Arial" w:eastAsia="Times New Roman" w:hAnsi="Arial" w:cs="Arial"/>
          <w:color w:val="000000"/>
          <w:sz w:val="18"/>
          <w:szCs w:val="18"/>
          <w:lang w:val="en-US" w:eastAsia="fr-FR"/>
        </w:rPr>
        <w:t xml:space="preserve">. That regulatory framework is characterised in the second paragraph of Article 172 TFEU, which provides that guidelines and </w:t>
      </w:r>
      <w:proofErr w:type="gramStart"/>
      <w:r w:rsidRPr="00297478">
        <w:rPr>
          <w:rFonts w:ascii="Arial" w:eastAsia="Times New Roman" w:hAnsi="Arial" w:cs="Arial"/>
          <w:color w:val="000000"/>
          <w:sz w:val="18"/>
          <w:szCs w:val="18"/>
          <w:lang w:val="en-US" w:eastAsia="fr-FR"/>
        </w:rPr>
        <w:t>PCIs which</w:t>
      </w:r>
      <w:proofErr w:type="gramEnd"/>
      <w:r w:rsidRPr="00297478">
        <w:rPr>
          <w:rFonts w:ascii="Arial" w:eastAsia="Times New Roman" w:hAnsi="Arial" w:cs="Arial"/>
          <w:color w:val="000000"/>
          <w:sz w:val="18"/>
          <w:szCs w:val="18"/>
          <w:lang w:val="en-US" w:eastAsia="fr-FR"/>
        </w:rPr>
        <w:t xml:space="preserve"> relate to the territory of a Member State are to require that State’s approval. </w:t>
      </w:r>
      <w:proofErr w:type="gramStart"/>
      <w:r w:rsidRPr="00297478">
        <w:rPr>
          <w:rFonts w:ascii="Arial" w:eastAsia="Times New Roman" w:hAnsi="Arial" w:cs="Arial"/>
          <w:color w:val="000000"/>
          <w:sz w:val="18"/>
          <w:szCs w:val="18"/>
          <w:lang w:val="en-US" w:eastAsia="fr-FR"/>
        </w:rPr>
        <w:t>The regulatory framework is also characterised in point (a) of the second subparagraph of Article 3(3) of Regulation No 347/2013, which lays down the requirement that the Member States concerned are to approve each individual proposal for a PCI where a group draws up its regional list, and in the first subparagraph of Article 3(4) of Regulation No 347/2013, which provides, in essence, that the Commission is to be empowered to adopt delegated acts establishing the Union list of PCIs, subject to the approval of the Member State whose territory is concerned by the PCI.</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lastRenderedPageBreak/>
        <w:t>27</w:t>
      </w:r>
      <w:r w:rsidRPr="00297478">
        <w:rPr>
          <w:rFonts w:ascii="Arial" w:eastAsia="Times New Roman" w:hAnsi="Arial" w:cs="Arial"/>
          <w:color w:val="000000"/>
          <w:sz w:val="18"/>
          <w:szCs w:val="18"/>
          <w:lang w:val="en-US" w:eastAsia="fr-FR"/>
        </w:rPr>
        <w:t xml:space="preserve">      Secondly, as regards the factual context in which the contested regulation </w:t>
      </w:r>
      <w:proofErr w:type="gramStart"/>
      <w:r w:rsidRPr="00297478">
        <w:rPr>
          <w:rFonts w:ascii="Arial" w:eastAsia="Times New Roman" w:hAnsi="Arial" w:cs="Arial"/>
          <w:color w:val="000000"/>
          <w:sz w:val="18"/>
          <w:szCs w:val="18"/>
          <w:lang w:val="en-US" w:eastAsia="fr-FR"/>
        </w:rPr>
        <w:t>was adopted</w:t>
      </w:r>
      <w:proofErr w:type="gramEnd"/>
      <w:r w:rsidRPr="00297478">
        <w:rPr>
          <w:rFonts w:ascii="Arial" w:eastAsia="Times New Roman" w:hAnsi="Arial" w:cs="Arial"/>
          <w:color w:val="000000"/>
          <w:sz w:val="18"/>
          <w:szCs w:val="18"/>
          <w:lang w:val="en-US" w:eastAsia="fr-FR"/>
        </w:rPr>
        <w:t>, it should be recalled that that regulation was published in the </w:t>
      </w:r>
      <w:r w:rsidRPr="00297478">
        <w:rPr>
          <w:rFonts w:ascii="Arial" w:eastAsia="Times New Roman" w:hAnsi="Arial" w:cs="Arial"/>
          <w:i/>
          <w:iCs/>
          <w:color w:val="000000"/>
          <w:sz w:val="18"/>
          <w:szCs w:val="18"/>
          <w:lang w:val="en-US" w:eastAsia="fr-FR"/>
        </w:rPr>
        <w:t>Official Journal of the European Union</w:t>
      </w:r>
      <w:r w:rsidRPr="00297478">
        <w:rPr>
          <w:rFonts w:ascii="Arial" w:eastAsia="Times New Roman" w:hAnsi="Arial" w:cs="Arial"/>
          <w:color w:val="000000"/>
          <w:sz w:val="18"/>
          <w:szCs w:val="18"/>
          <w:lang w:val="en-US" w:eastAsia="fr-FR"/>
        </w:rPr>
        <w:t> on 11 March 2020. A number of factors lead to the conclusion that, before that publication, the applicants had become aware of the reservations expressed by the French Republic about the proposed Aquind interconnector and, ultimately, of the latter’s refusal to give its approval to that project.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28</w:t>
      </w:r>
      <w:r w:rsidRPr="00297478">
        <w:rPr>
          <w:rFonts w:ascii="Arial" w:eastAsia="Times New Roman" w:hAnsi="Arial" w:cs="Arial"/>
          <w:color w:val="000000"/>
          <w:sz w:val="18"/>
          <w:szCs w:val="18"/>
          <w:lang w:val="en-US" w:eastAsia="fr-FR"/>
        </w:rPr>
        <w:t>      First of all, in an email of 11 July 2019 sent to the applicants, the Commission informed them that the French Republic had expressed reservations about the proposed Aquind interconnector at the technical-level meeting of the regional group on 5 July 2019 and that it suggested that they should contact the relevant ministry for further details.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29</w:t>
      </w:r>
      <w:r w:rsidRPr="00297478">
        <w:rPr>
          <w:rFonts w:ascii="Arial" w:eastAsia="Times New Roman" w:hAnsi="Arial" w:cs="Arial"/>
          <w:color w:val="000000"/>
          <w:sz w:val="18"/>
          <w:szCs w:val="18"/>
          <w:lang w:val="en-US" w:eastAsia="fr-FR"/>
        </w:rPr>
        <w:t xml:space="preserve">      Next, at the meeting of 5 December 2019 of the European Parliament’s Committee on Industry, Research and Energy, the Commissioner for Energy replied to a question put by two Members of the European Parliament from the United Kingdom concerning the reasons for the removal of the proposed Aquind interconnector from the Union list of PCIs. </w:t>
      </w:r>
      <w:proofErr w:type="gramStart"/>
      <w:r w:rsidRPr="00297478">
        <w:rPr>
          <w:rFonts w:ascii="Arial" w:eastAsia="Times New Roman" w:hAnsi="Arial" w:cs="Arial"/>
          <w:color w:val="000000"/>
          <w:sz w:val="18"/>
          <w:szCs w:val="18"/>
          <w:lang w:val="en-US" w:eastAsia="fr-FR"/>
        </w:rPr>
        <w:t>The Commissioner for Energy stated, first, that the French Republic considered that the four projects linking the United Kingdom and France would lead to overcapacity, secondly, that that Member State was of the opinion that the proposed Aquind interconnector was considered to be the most uncertain and, thirdly, that that Member State had accordingly requested that the project at issue should not be included in the new list of PCIs.</w:t>
      </w:r>
      <w:proofErr w:type="gramEnd"/>
      <w:r w:rsidRPr="00297478">
        <w:rPr>
          <w:rFonts w:ascii="Arial" w:eastAsia="Times New Roman" w:hAnsi="Arial" w:cs="Arial"/>
          <w:color w:val="000000"/>
          <w:sz w:val="18"/>
          <w:szCs w:val="18"/>
          <w:lang w:val="en-US" w:eastAsia="fr-FR"/>
        </w:rPr>
        <w:t xml:space="preserve"> The Commissioner for Energy stated that the Member States were entitled to approve projects </w:t>
      </w:r>
      <w:proofErr w:type="gramStart"/>
      <w:r w:rsidRPr="00297478">
        <w:rPr>
          <w:rFonts w:ascii="Arial" w:eastAsia="Times New Roman" w:hAnsi="Arial" w:cs="Arial"/>
          <w:color w:val="000000"/>
          <w:sz w:val="18"/>
          <w:szCs w:val="18"/>
          <w:lang w:val="en-US" w:eastAsia="fr-FR"/>
        </w:rPr>
        <w:t>which concerned their territory and that the Commission was required to respect that right</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30</w:t>
      </w:r>
      <w:r w:rsidRPr="00297478">
        <w:rPr>
          <w:rFonts w:ascii="Arial" w:eastAsia="Times New Roman" w:hAnsi="Arial" w:cs="Arial"/>
          <w:color w:val="000000"/>
          <w:sz w:val="18"/>
          <w:szCs w:val="18"/>
          <w:lang w:val="en-US" w:eastAsia="fr-FR"/>
        </w:rPr>
        <w:t>      In their reply to a written question from the Court, the applicants admit that they were aware of the reply from the Commissioner for Energy on the same day of the meeting, that is to say, 5 December 2019.</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31</w:t>
      </w:r>
      <w:r w:rsidRPr="00297478">
        <w:rPr>
          <w:rFonts w:ascii="Arial" w:eastAsia="Times New Roman" w:hAnsi="Arial" w:cs="Arial"/>
          <w:color w:val="000000"/>
          <w:sz w:val="18"/>
          <w:szCs w:val="18"/>
          <w:lang w:val="en-US" w:eastAsia="fr-FR"/>
        </w:rPr>
        <w:t>      Lastly, in response to another written question from the Court, the applicants stated that, in response to their letter of 24 October 2019, the Deputy Director-General of the Commission’s Directorate-General (DG) for Energy informed them, by letter of 20 February 2020, that the Commission was not empowered to include any projects in the Union list of PCIs after the decisions of the regional groups had been taken, and stated that the French Republic had raised an objection to the proposed Aquind interconnector.</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32</w:t>
      </w:r>
      <w:r w:rsidRPr="00297478">
        <w:rPr>
          <w:rFonts w:ascii="Arial" w:eastAsia="Times New Roman" w:hAnsi="Arial" w:cs="Arial"/>
          <w:color w:val="000000"/>
          <w:sz w:val="18"/>
          <w:szCs w:val="18"/>
          <w:lang w:val="en-US" w:eastAsia="fr-FR"/>
        </w:rPr>
        <w:t xml:space="preserve">      It follows from all of the foregoing that the applicants became aware of the reason why the Commission did not include the proposed Aquind interconnector in the Union list of PCIs in the contested regulation, </w:t>
      </w:r>
      <w:proofErr w:type="gramStart"/>
      <w:r w:rsidRPr="00297478">
        <w:rPr>
          <w:rFonts w:ascii="Arial" w:eastAsia="Times New Roman" w:hAnsi="Arial" w:cs="Arial"/>
          <w:color w:val="000000"/>
          <w:sz w:val="18"/>
          <w:szCs w:val="18"/>
          <w:lang w:val="en-US" w:eastAsia="fr-FR"/>
        </w:rPr>
        <w:t>in so</w:t>
      </w:r>
      <w:proofErr w:type="gramEnd"/>
      <w:r w:rsidRPr="00297478">
        <w:rPr>
          <w:rFonts w:ascii="Arial" w:eastAsia="Times New Roman" w:hAnsi="Arial" w:cs="Arial"/>
          <w:color w:val="000000"/>
          <w:sz w:val="18"/>
          <w:szCs w:val="18"/>
          <w:lang w:val="en-US" w:eastAsia="fr-FR"/>
        </w:rPr>
        <w:t xml:space="preserve"> far as that reason related to the fact that the French Republic had not approved that project. In addition, they were able to note that, according to that Member State, there was a risk of overcapacity due to the existence of a number of projects and that the proposed Aquind interconnector was the most uncertain.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33</w:t>
      </w:r>
      <w:r w:rsidRPr="00297478">
        <w:rPr>
          <w:rFonts w:ascii="Arial" w:eastAsia="Times New Roman" w:hAnsi="Arial" w:cs="Arial"/>
          <w:color w:val="000000"/>
          <w:sz w:val="18"/>
          <w:szCs w:val="18"/>
          <w:lang w:val="en-US" w:eastAsia="fr-FR"/>
        </w:rPr>
        <w:t>      In the third place, it is necessary to examine the applicants’ argument that the statement of reasons relating to the French Republic’s refusal to approve the inclusion of the proposed Aquind interconnector in the Union list of PCIs, and the explanations given by that Member State regarding the risk of overcapacity and the fact that the project in question was the most uncertain, are insufficient.</w:t>
      </w:r>
      <w:proofErr w:type="gramEnd"/>
      <w:r w:rsidRPr="00297478">
        <w:rPr>
          <w:rFonts w:ascii="Arial" w:eastAsia="Times New Roman" w:hAnsi="Arial" w:cs="Arial"/>
          <w:color w:val="000000"/>
          <w:sz w:val="18"/>
          <w:szCs w:val="18"/>
          <w:lang w:val="en-US" w:eastAsia="fr-FR"/>
        </w:rPr>
        <w:t xml:space="preserve"> The applicants submit, in essence, that the Commission was not entitled to confine itself to providing such a statement of reasons, but should have required the Member State concerned to provide further justification for its refusal.</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34</w:t>
      </w:r>
      <w:r w:rsidRPr="00297478">
        <w:rPr>
          <w:rFonts w:ascii="Arial" w:eastAsia="Times New Roman" w:hAnsi="Arial" w:cs="Arial"/>
          <w:color w:val="000000"/>
          <w:sz w:val="18"/>
          <w:szCs w:val="18"/>
          <w:lang w:val="en-US" w:eastAsia="fr-FR"/>
        </w:rPr>
        <w:t xml:space="preserve">      In order to determine whether the statement of reasons referred to in paragraph 32 above was sufficient, it is necessary to know at the outset what level of reasoning is required when the decision </w:t>
      </w:r>
      <w:proofErr w:type="gramStart"/>
      <w:r w:rsidRPr="00297478">
        <w:rPr>
          <w:rFonts w:ascii="Arial" w:eastAsia="Times New Roman" w:hAnsi="Arial" w:cs="Arial"/>
          <w:color w:val="000000"/>
          <w:sz w:val="18"/>
          <w:szCs w:val="18"/>
          <w:lang w:val="en-US" w:eastAsia="fr-FR"/>
        </w:rPr>
        <w:t>is made</w:t>
      </w:r>
      <w:proofErr w:type="gramEnd"/>
      <w:r w:rsidRPr="00297478">
        <w:rPr>
          <w:rFonts w:ascii="Arial" w:eastAsia="Times New Roman" w:hAnsi="Arial" w:cs="Arial"/>
          <w:color w:val="000000"/>
          <w:sz w:val="18"/>
          <w:szCs w:val="18"/>
          <w:lang w:val="en-US" w:eastAsia="fr-FR"/>
        </w:rPr>
        <w:t xml:space="preserve"> on whether or not to include a proposed interconnector in the Union list of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35</w:t>
      </w:r>
      <w:r w:rsidRPr="00297478">
        <w:rPr>
          <w:rFonts w:ascii="Arial" w:eastAsia="Times New Roman" w:hAnsi="Arial" w:cs="Arial"/>
          <w:color w:val="000000"/>
          <w:sz w:val="18"/>
          <w:szCs w:val="18"/>
          <w:lang w:val="en-US" w:eastAsia="fr-FR"/>
        </w:rPr>
        <w:t>      Examination of that question involves considering the division and scope of the respective powers of the Member States and the Commission in the process for adopting the Union lists of PCIs. The applicants submit that the second paragraph of Article 172 TFEU does not confer on Member States an entirely discretionary right of veto over the inclusion of a PCI in the Union list and that, under Regulation No 347/2013, the Commission has a discretion in adopting the Union list of PCIs. For its part, the Commission submits that it could not include the proposed Aquind interconnector in the Union list of PCIs, because it considers that it cannot overrule the Member State’s refusal to give its approval.</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36</w:t>
      </w:r>
      <w:r w:rsidRPr="00297478">
        <w:rPr>
          <w:rFonts w:ascii="Arial" w:eastAsia="Times New Roman" w:hAnsi="Arial" w:cs="Arial"/>
          <w:color w:val="000000"/>
          <w:sz w:val="18"/>
          <w:szCs w:val="18"/>
          <w:lang w:val="en-US" w:eastAsia="fr-FR"/>
        </w:rPr>
        <w:t>      In that regard, it is worth recalling the settled case-law according to which, when a provision of EU law is being interpreted, account must be taken, not only of the terms of that provision and the objectives which it pursues, but also of its context and of all the provisions of EU law (see judgment of 8 July 2019,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Belgium (Article 260(3) TFEU – High-speed networks)</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543/17, EU:C:2019:573, paragraph 49 and the case-law cited; order of 24 October 2019, </w:t>
      </w:r>
      <w:r w:rsidRPr="00297478">
        <w:rPr>
          <w:rFonts w:ascii="Arial" w:eastAsia="Times New Roman" w:hAnsi="Arial" w:cs="Arial"/>
          <w:i/>
          <w:iCs/>
          <w:color w:val="000000"/>
          <w:sz w:val="18"/>
          <w:szCs w:val="18"/>
          <w:lang w:val="en-US" w:eastAsia="fr-FR"/>
        </w:rPr>
        <w:t>Liaño Reig</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SRB</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557/17, not published, EU:T:2019:771, paragraph 59).</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lastRenderedPageBreak/>
        <w:t>37</w:t>
      </w:r>
      <w:r w:rsidRPr="00297478">
        <w:rPr>
          <w:rFonts w:ascii="Arial" w:eastAsia="Times New Roman" w:hAnsi="Arial" w:cs="Arial"/>
          <w:color w:val="000000"/>
          <w:sz w:val="18"/>
          <w:szCs w:val="18"/>
          <w:lang w:val="en-US" w:eastAsia="fr-FR"/>
        </w:rPr>
        <w:t xml:space="preserve">      As regards the wording of the second paragraph of Article 172 TFEU, it </w:t>
      </w:r>
      <w:proofErr w:type="gramStart"/>
      <w:r w:rsidRPr="00297478">
        <w:rPr>
          <w:rFonts w:ascii="Arial" w:eastAsia="Times New Roman" w:hAnsi="Arial" w:cs="Arial"/>
          <w:color w:val="000000"/>
          <w:sz w:val="18"/>
          <w:szCs w:val="18"/>
          <w:lang w:val="en-US" w:eastAsia="fr-FR"/>
        </w:rPr>
        <w:t>should be noted</w:t>
      </w:r>
      <w:proofErr w:type="gramEnd"/>
      <w:r w:rsidRPr="00297478">
        <w:rPr>
          <w:rFonts w:ascii="Arial" w:eastAsia="Times New Roman" w:hAnsi="Arial" w:cs="Arial"/>
          <w:color w:val="000000"/>
          <w:sz w:val="18"/>
          <w:szCs w:val="18"/>
          <w:lang w:val="en-US" w:eastAsia="fr-FR"/>
        </w:rPr>
        <w:t xml:space="preserve"> that a literal reading of that provision clearly supports the Commission’s position. Indeed, the wording of that provision is in no way capable of </w:t>
      </w:r>
      <w:proofErr w:type="gramStart"/>
      <w:r w:rsidRPr="00297478">
        <w:rPr>
          <w:rFonts w:ascii="Arial" w:eastAsia="Times New Roman" w:hAnsi="Arial" w:cs="Arial"/>
          <w:color w:val="000000"/>
          <w:sz w:val="18"/>
          <w:szCs w:val="18"/>
          <w:lang w:val="en-US" w:eastAsia="fr-FR"/>
        </w:rPr>
        <w:t>being interpreted</w:t>
      </w:r>
      <w:proofErr w:type="gramEnd"/>
      <w:r w:rsidRPr="00297478">
        <w:rPr>
          <w:rFonts w:ascii="Arial" w:eastAsia="Times New Roman" w:hAnsi="Arial" w:cs="Arial"/>
          <w:color w:val="000000"/>
          <w:sz w:val="18"/>
          <w:szCs w:val="18"/>
          <w:lang w:val="en-US" w:eastAsia="fr-FR"/>
        </w:rPr>
        <w:t xml:space="preserve"> in a number of ways, and it thus presents no difficulty in interpretation.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38</w:t>
      </w:r>
      <w:r w:rsidRPr="00297478">
        <w:rPr>
          <w:rFonts w:ascii="Arial" w:eastAsia="Times New Roman" w:hAnsi="Arial" w:cs="Arial"/>
          <w:color w:val="000000"/>
          <w:sz w:val="18"/>
          <w:szCs w:val="18"/>
          <w:lang w:val="en-US" w:eastAsia="fr-FR"/>
        </w:rPr>
        <w:t xml:space="preserve">      In view of the clear wording of the second paragraph of Article 172 TFEU, it </w:t>
      </w:r>
      <w:proofErr w:type="gramStart"/>
      <w:r w:rsidRPr="00297478">
        <w:rPr>
          <w:rFonts w:ascii="Arial" w:eastAsia="Times New Roman" w:hAnsi="Arial" w:cs="Arial"/>
          <w:color w:val="000000"/>
          <w:sz w:val="18"/>
          <w:szCs w:val="18"/>
          <w:lang w:val="en-US" w:eastAsia="fr-FR"/>
        </w:rPr>
        <w:t>must be held</w:t>
      </w:r>
      <w:proofErr w:type="gramEnd"/>
      <w:r w:rsidRPr="00297478">
        <w:rPr>
          <w:rFonts w:ascii="Arial" w:eastAsia="Times New Roman" w:hAnsi="Arial" w:cs="Arial"/>
          <w:color w:val="000000"/>
          <w:sz w:val="18"/>
          <w:szCs w:val="18"/>
          <w:lang w:val="en-US" w:eastAsia="fr-FR"/>
        </w:rPr>
        <w:t xml:space="preserve"> that that provision confers a discretion, that is to say, a broad margin of appreciation, on the Member State concerned to give or to refuse to give its approval to the inclusion of a project in the Union list of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39</w:t>
      </w:r>
      <w:proofErr w:type="gramEnd"/>
      <w:r w:rsidRPr="00297478">
        <w:rPr>
          <w:rFonts w:ascii="Arial" w:eastAsia="Times New Roman" w:hAnsi="Arial" w:cs="Arial"/>
          <w:color w:val="000000"/>
          <w:sz w:val="18"/>
          <w:szCs w:val="18"/>
          <w:lang w:val="en-US" w:eastAsia="fr-FR"/>
        </w:rPr>
        <w:t xml:space="preserve">      That is confirmed by the teleological and contextual interpretations of the second paragraph of Article 172 TFEU. </w:t>
      </w:r>
      <w:proofErr w:type="gramStart"/>
      <w:r w:rsidRPr="00297478">
        <w:rPr>
          <w:rFonts w:ascii="Arial" w:eastAsia="Times New Roman" w:hAnsi="Arial" w:cs="Arial"/>
          <w:color w:val="000000"/>
          <w:sz w:val="18"/>
          <w:szCs w:val="18"/>
          <w:lang w:val="en-US" w:eastAsia="fr-FR"/>
        </w:rPr>
        <w:t>The fact that the legislature chose to introduce a form of right of veto in favour of the Member State concerned is explained by the fact that trans-European network policy includes territorial aspects and thus, in some way, touches upon town and country planning, which is an area that traditionally falls within the sovereignty of the Member States (Opinion of Advocate General Bot in </w:t>
      </w:r>
      <w:r w:rsidRPr="00297478">
        <w:rPr>
          <w:rFonts w:ascii="Arial" w:eastAsia="Times New Roman" w:hAnsi="Arial" w:cs="Arial"/>
          <w:i/>
          <w:iCs/>
          <w:color w:val="000000"/>
          <w:sz w:val="18"/>
          <w:szCs w:val="18"/>
          <w:lang w:val="en-US" w:eastAsia="fr-FR"/>
        </w:rPr>
        <w:t>United Kingdom</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Parliament and Council</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121/14, EU:C:2015:526, points 157 and 158).</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40</w:t>
      </w:r>
      <w:r w:rsidRPr="00297478">
        <w:rPr>
          <w:rFonts w:ascii="Arial" w:eastAsia="Times New Roman" w:hAnsi="Arial" w:cs="Arial"/>
          <w:color w:val="000000"/>
          <w:sz w:val="18"/>
          <w:szCs w:val="18"/>
          <w:lang w:val="en-US" w:eastAsia="fr-FR"/>
        </w:rPr>
        <w:t>      Moreover, that is also the meaning of the provisions of Regulation No 347/2013 referred to in paragraph 26 above. Consequently, and contrary to the applicants’ submission, the Commission was not entitled to overrule that refusal to approve the project.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41</w:t>
      </w:r>
      <w:r w:rsidRPr="00297478">
        <w:rPr>
          <w:rFonts w:ascii="Arial" w:eastAsia="Times New Roman" w:hAnsi="Arial" w:cs="Arial"/>
          <w:color w:val="000000"/>
          <w:sz w:val="18"/>
          <w:szCs w:val="18"/>
          <w:lang w:val="en-US" w:eastAsia="fr-FR"/>
        </w:rPr>
        <w:t xml:space="preserve">      In view of the Member State’s discretion, it is necessary to determine to what extent its refusal to approve a project must state the reasons on which it </w:t>
      </w:r>
      <w:proofErr w:type="gramStart"/>
      <w:r w:rsidRPr="00297478">
        <w:rPr>
          <w:rFonts w:ascii="Arial" w:eastAsia="Times New Roman" w:hAnsi="Arial" w:cs="Arial"/>
          <w:color w:val="000000"/>
          <w:sz w:val="18"/>
          <w:szCs w:val="18"/>
          <w:lang w:val="en-US" w:eastAsia="fr-FR"/>
        </w:rPr>
        <w:t>is based</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In that regard, point (a) of the second subparagraph of Article 3(3) of Regulation No 347/2013 and Annex III.2(10) to that regulation state that, where a group draws up its regional list, the Member State concerned which decides not to give its approval to a project must present its substantiated reasons for doing so to that regional group.</w:t>
      </w:r>
      <w:proofErr w:type="gramEnd"/>
      <w:r w:rsidRPr="00297478">
        <w:rPr>
          <w:rFonts w:ascii="Arial" w:eastAsia="Times New Roman" w:hAnsi="Arial" w:cs="Arial"/>
          <w:color w:val="000000"/>
          <w:sz w:val="18"/>
          <w:szCs w:val="18"/>
          <w:lang w:val="en-US" w:eastAsia="fr-FR"/>
        </w:rPr>
        <w:t xml:space="preserve"> Those provisions state that the high-level decision-making body of the regional group concerned may examine those reasons for refusal ‘at the request of a Member State’ of that regional group. The legislature thus expressed its intention that, as a continuation of the second paragraph of Article 172 TFEU, the question of the refusal to approve a project preventing it from </w:t>
      </w:r>
      <w:proofErr w:type="gramStart"/>
      <w:r w:rsidRPr="00297478">
        <w:rPr>
          <w:rFonts w:ascii="Arial" w:eastAsia="Times New Roman" w:hAnsi="Arial" w:cs="Arial"/>
          <w:color w:val="000000"/>
          <w:sz w:val="18"/>
          <w:szCs w:val="18"/>
          <w:lang w:val="en-US" w:eastAsia="fr-FR"/>
        </w:rPr>
        <w:t>being granted</w:t>
      </w:r>
      <w:proofErr w:type="gramEnd"/>
      <w:r w:rsidRPr="00297478">
        <w:rPr>
          <w:rFonts w:ascii="Arial" w:eastAsia="Times New Roman" w:hAnsi="Arial" w:cs="Arial"/>
          <w:color w:val="000000"/>
          <w:sz w:val="18"/>
          <w:szCs w:val="18"/>
          <w:lang w:val="en-US" w:eastAsia="fr-FR"/>
        </w:rPr>
        <w:t xml:space="preserve"> the status of a Union PCI should fall within the competence of the Member States concerned.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42</w:t>
      </w:r>
      <w:r w:rsidRPr="00297478">
        <w:rPr>
          <w:rFonts w:ascii="Arial" w:eastAsia="Times New Roman" w:hAnsi="Arial" w:cs="Arial"/>
          <w:color w:val="000000"/>
          <w:sz w:val="18"/>
          <w:szCs w:val="18"/>
          <w:lang w:val="en-US" w:eastAsia="fr-FR"/>
        </w:rPr>
        <w:t>      In the present case, the minutes of the meeting of the technical decision-making bodies and of the meeting of the high-level decision-making body indicate that the French Republic had given reasons for its refusal to approve the inclusion of the proposed Aquind interconnector in the fourth list of PCIs and that no Member State of the regional group concerned had requested an examination of those reasons.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43</w:t>
      </w:r>
      <w:r w:rsidRPr="00297478">
        <w:rPr>
          <w:rFonts w:ascii="Arial" w:eastAsia="Times New Roman" w:hAnsi="Arial" w:cs="Arial"/>
          <w:color w:val="000000"/>
          <w:sz w:val="18"/>
          <w:szCs w:val="18"/>
          <w:lang w:val="en-US" w:eastAsia="fr-FR"/>
        </w:rPr>
        <w:t>      The Commission therefore satisfied the obligation to state reasons by referring to the French Republic’s refusal to give its approval to the inclusion of the proposed Aquind interconnector in the Union list of PCIs. Similarly, it cannot be criticised for not having asked the French Republic for explanations of the detailed reasons for that refusal. In that regard, point (a) of the second subparagraph of Article 3(3) of Regulation No 347/2013 and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 xml:space="preserve">10) to that regulation did not allow it to interfere in any way with the reasons put forward by the French Republic. </w:t>
      </w:r>
      <w:proofErr w:type="gramStart"/>
      <w:r w:rsidRPr="00297478">
        <w:rPr>
          <w:rFonts w:ascii="Arial" w:eastAsia="Times New Roman" w:hAnsi="Arial" w:cs="Arial"/>
          <w:color w:val="000000"/>
          <w:sz w:val="18"/>
          <w:szCs w:val="18"/>
          <w:lang w:val="en-US" w:eastAsia="fr-FR"/>
        </w:rPr>
        <w:t>It should be added that the applicants have not pleaded the illegality of those provisions and that they cannot therefore allege that the Commission infringed its obligation to state reasons when it complied with those provisions (see, to that effect and by analogy, judgment of 26 September 2014, </w:t>
      </w:r>
      <w:r w:rsidRPr="00297478">
        <w:rPr>
          <w:rFonts w:ascii="Arial" w:eastAsia="Times New Roman" w:hAnsi="Arial" w:cs="Arial"/>
          <w:i/>
          <w:iCs/>
          <w:color w:val="000000"/>
          <w:sz w:val="18"/>
          <w:szCs w:val="18"/>
          <w:lang w:val="en-US" w:eastAsia="fr-FR"/>
        </w:rPr>
        <w:t>Raffinerie Heide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631/13, not published, EU:T:2014:830, paragraphs 41 to 44, and Opinion of Advocate General Mengozzi in </w:t>
      </w:r>
      <w:r w:rsidRPr="00297478">
        <w:rPr>
          <w:rFonts w:ascii="Arial" w:eastAsia="Times New Roman" w:hAnsi="Arial" w:cs="Arial"/>
          <w:i/>
          <w:iCs/>
          <w:color w:val="000000"/>
          <w:sz w:val="18"/>
          <w:szCs w:val="18"/>
          <w:lang w:val="en-US" w:eastAsia="fr-FR"/>
        </w:rPr>
        <w:t>DK Recycling und Roheisen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Arctic Paper Mochenwangen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Raffinerie Heide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and </w:t>
      </w:r>
      <w:r w:rsidRPr="00297478">
        <w:rPr>
          <w:rFonts w:ascii="Arial" w:eastAsia="Times New Roman" w:hAnsi="Arial" w:cs="Arial"/>
          <w:i/>
          <w:iCs/>
          <w:color w:val="000000"/>
          <w:sz w:val="18"/>
          <w:szCs w:val="18"/>
          <w:lang w:val="en-US" w:eastAsia="fr-FR"/>
        </w:rPr>
        <w:t>Romonta</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540/14 P, C</w:t>
      </w:r>
      <w:r w:rsidRPr="00297478">
        <w:rPr>
          <w:rFonts w:ascii="Arial" w:eastAsia="Times New Roman" w:hAnsi="Arial" w:cs="Arial"/>
          <w:color w:val="000000"/>
          <w:sz w:val="18"/>
          <w:szCs w:val="18"/>
          <w:lang w:val="en-US" w:eastAsia="fr-FR"/>
        </w:rPr>
        <w:noBreakHyphen/>
        <w:t>551/14 P, C</w:t>
      </w:r>
      <w:r w:rsidRPr="00297478">
        <w:rPr>
          <w:rFonts w:ascii="Arial" w:eastAsia="Times New Roman" w:hAnsi="Arial" w:cs="Arial"/>
          <w:color w:val="000000"/>
          <w:sz w:val="18"/>
          <w:szCs w:val="18"/>
          <w:lang w:val="en-US" w:eastAsia="fr-FR"/>
        </w:rPr>
        <w:noBreakHyphen/>
        <w:t>564/14 P and C</w:t>
      </w:r>
      <w:r w:rsidRPr="00297478">
        <w:rPr>
          <w:rFonts w:ascii="Arial" w:eastAsia="Times New Roman" w:hAnsi="Arial" w:cs="Arial"/>
          <w:color w:val="000000"/>
          <w:sz w:val="18"/>
          <w:szCs w:val="18"/>
          <w:lang w:val="en-US" w:eastAsia="fr-FR"/>
        </w:rPr>
        <w:noBreakHyphen/>
        <w:t>565/14 P, EU:C:2016:147, points 90 and 91).</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44</w:t>
      </w:r>
      <w:r w:rsidRPr="00297478">
        <w:rPr>
          <w:rFonts w:ascii="Arial" w:eastAsia="Times New Roman" w:hAnsi="Arial" w:cs="Arial"/>
          <w:color w:val="000000"/>
          <w:sz w:val="18"/>
          <w:szCs w:val="18"/>
          <w:lang w:val="en-US" w:eastAsia="fr-FR"/>
        </w:rPr>
        <w:t>      In that context, Article 3(1) of Regulation No 347/2013, which provides that ‘decision-making powers in the Groups shall be restricted to Member States and the Commission, who shall, for those purposes, be referred to as the decision-making body of the [regional] Groups [concerned]’, and Article 3(4) and Article 16 of Regulation No 347/2013, by which the Commission is empowered to adopt the contested regulation, cannot be interpreted as meaning that the Commission is responsible for any unlawful act committed by a Member State when it refuses to give its approval to a project and that it should thus respond to a potential infringement of the obligation to state reasons committed by that Member State.</w:t>
      </w:r>
      <w:proofErr w:type="gramEnd"/>
      <w:r w:rsidRPr="00297478">
        <w:rPr>
          <w:rFonts w:ascii="Arial" w:eastAsia="Times New Roman" w:hAnsi="Arial" w:cs="Arial"/>
          <w:color w:val="000000"/>
          <w:sz w:val="18"/>
          <w:szCs w:val="18"/>
          <w:lang w:val="en-US" w:eastAsia="fr-FR"/>
        </w:rPr>
        <w:t xml:space="preserve"> Such an approach would be contrary to the rules governing the division of powers between the Member States and the Commission, as provided for in Article 172 TFEU and reiterated in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45</w:t>
      </w:r>
      <w:r w:rsidRPr="00297478">
        <w:rPr>
          <w:rFonts w:ascii="Arial" w:eastAsia="Times New Roman" w:hAnsi="Arial" w:cs="Arial"/>
          <w:color w:val="000000"/>
          <w:sz w:val="18"/>
          <w:szCs w:val="18"/>
          <w:lang w:val="en-US" w:eastAsia="fr-FR"/>
        </w:rPr>
        <w:t xml:space="preserve">      Accordingly, it </w:t>
      </w:r>
      <w:proofErr w:type="gramStart"/>
      <w:r w:rsidRPr="00297478">
        <w:rPr>
          <w:rFonts w:ascii="Arial" w:eastAsia="Times New Roman" w:hAnsi="Arial" w:cs="Arial"/>
          <w:color w:val="000000"/>
          <w:sz w:val="18"/>
          <w:szCs w:val="18"/>
          <w:lang w:val="en-US" w:eastAsia="fr-FR"/>
        </w:rPr>
        <w:t>must be concluded</w:t>
      </w:r>
      <w:proofErr w:type="gramEnd"/>
      <w:r w:rsidRPr="00297478">
        <w:rPr>
          <w:rFonts w:ascii="Arial" w:eastAsia="Times New Roman" w:hAnsi="Arial" w:cs="Arial"/>
          <w:color w:val="000000"/>
          <w:sz w:val="18"/>
          <w:szCs w:val="18"/>
          <w:lang w:val="en-US" w:eastAsia="fr-FR"/>
        </w:rPr>
        <w:t xml:space="preserve"> that the Commission has provided a statement of reasons to the requisite legal standard for the contested regulation, and therefore the first plea in law must be rejected.</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second plea in law, alleging infringement of the procedural and substantive requirements laid down in Regulation No 347/2013, in particular Article 5(8)</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lastRenderedPageBreak/>
        <w:t>46</w:t>
      </w:r>
      <w:r w:rsidRPr="00297478">
        <w:rPr>
          <w:rFonts w:ascii="Arial" w:eastAsia="Times New Roman" w:hAnsi="Arial" w:cs="Arial"/>
          <w:color w:val="000000"/>
          <w:sz w:val="18"/>
          <w:szCs w:val="18"/>
          <w:lang w:val="en-US" w:eastAsia="fr-FR"/>
        </w:rPr>
        <w:t xml:space="preserve">      By the second plea, the applicants claim that procedural and substantive rules </w:t>
      </w:r>
      <w:proofErr w:type="gramStart"/>
      <w:r w:rsidRPr="00297478">
        <w:rPr>
          <w:rFonts w:ascii="Arial" w:eastAsia="Times New Roman" w:hAnsi="Arial" w:cs="Arial"/>
          <w:color w:val="000000"/>
          <w:sz w:val="18"/>
          <w:szCs w:val="18"/>
          <w:lang w:val="en-US" w:eastAsia="fr-FR"/>
        </w:rPr>
        <w:t>have been infringed</w:t>
      </w:r>
      <w:proofErr w:type="gramEnd"/>
      <w:r w:rsidRPr="00297478">
        <w:rPr>
          <w:rFonts w:ascii="Arial" w:eastAsia="Times New Roman" w:hAnsi="Arial" w:cs="Arial"/>
          <w:color w:val="000000"/>
          <w:sz w:val="18"/>
          <w:szCs w:val="18"/>
          <w:lang w:val="en-US" w:eastAsia="fr-FR"/>
        </w:rPr>
        <w:t>. Essentially, that plea comprises five complaints.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47</w:t>
      </w:r>
      <w:r w:rsidRPr="00297478">
        <w:rPr>
          <w:rFonts w:ascii="Arial" w:eastAsia="Times New Roman" w:hAnsi="Arial" w:cs="Arial"/>
          <w:color w:val="000000"/>
          <w:sz w:val="18"/>
          <w:szCs w:val="18"/>
          <w:lang w:val="en-US" w:eastAsia="fr-FR"/>
        </w:rPr>
        <w:t>      The Commission, supported on this point by the Kingdom of Spain and the French Republic, disputes those complaints and the plea in its entirety.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48</w:t>
      </w:r>
      <w:r w:rsidRPr="00297478">
        <w:rPr>
          <w:rFonts w:ascii="Arial" w:eastAsia="Times New Roman" w:hAnsi="Arial" w:cs="Arial"/>
          <w:color w:val="000000"/>
          <w:sz w:val="18"/>
          <w:szCs w:val="18"/>
          <w:lang w:val="en-US" w:eastAsia="fr-FR"/>
        </w:rPr>
        <w:t xml:space="preserve">      By the first complaint, the applicants submit that, as the body responsible for adopting the contested regulation, the Commission should have ensured that the Union list of PCIs </w:t>
      </w:r>
      <w:proofErr w:type="gramStart"/>
      <w:r w:rsidRPr="00297478">
        <w:rPr>
          <w:rFonts w:ascii="Arial" w:eastAsia="Times New Roman" w:hAnsi="Arial" w:cs="Arial"/>
          <w:color w:val="000000"/>
          <w:sz w:val="18"/>
          <w:szCs w:val="18"/>
          <w:lang w:val="en-US" w:eastAsia="fr-FR"/>
        </w:rPr>
        <w:t>is drawn up</w:t>
      </w:r>
      <w:proofErr w:type="gramEnd"/>
      <w:r w:rsidRPr="00297478">
        <w:rPr>
          <w:rFonts w:ascii="Arial" w:eastAsia="Times New Roman" w:hAnsi="Arial" w:cs="Arial"/>
          <w:color w:val="000000"/>
          <w:sz w:val="18"/>
          <w:szCs w:val="18"/>
          <w:lang w:val="en-US" w:eastAsia="fr-FR"/>
        </w:rPr>
        <w:t xml:space="preserve"> in accordance with all the relevant legal requirements. In the applicants’ submission, the Commission infringed Article 3(3) of Regulation No 347/2013 on the ground that, for several reasons, the process set out in Annex III.2 to that regulation </w:t>
      </w:r>
      <w:proofErr w:type="gramStart"/>
      <w:r w:rsidRPr="00297478">
        <w:rPr>
          <w:rFonts w:ascii="Arial" w:eastAsia="Times New Roman" w:hAnsi="Arial" w:cs="Arial"/>
          <w:color w:val="000000"/>
          <w:sz w:val="18"/>
          <w:szCs w:val="18"/>
          <w:lang w:val="en-US" w:eastAsia="fr-FR"/>
        </w:rPr>
        <w:t>was not followed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49</w:t>
      </w:r>
      <w:r w:rsidRPr="00297478">
        <w:rPr>
          <w:rFonts w:ascii="Arial" w:eastAsia="Times New Roman" w:hAnsi="Arial" w:cs="Arial"/>
          <w:color w:val="000000"/>
          <w:sz w:val="18"/>
          <w:szCs w:val="18"/>
          <w:lang w:val="en-US" w:eastAsia="fr-FR"/>
        </w:rPr>
        <w:t xml:space="preserve">      First, the applicants rely on the fact that ACER stated that, due to a number of lacunae in the information that </w:t>
      </w:r>
      <w:proofErr w:type="gramStart"/>
      <w:r w:rsidRPr="00297478">
        <w:rPr>
          <w:rFonts w:ascii="Arial" w:eastAsia="Times New Roman" w:hAnsi="Arial" w:cs="Arial"/>
          <w:color w:val="000000"/>
          <w:sz w:val="18"/>
          <w:szCs w:val="18"/>
          <w:lang w:val="en-US" w:eastAsia="fr-FR"/>
        </w:rPr>
        <w:t>had been provided</w:t>
      </w:r>
      <w:proofErr w:type="gramEnd"/>
      <w:r w:rsidRPr="00297478">
        <w:rPr>
          <w:rFonts w:ascii="Arial" w:eastAsia="Times New Roman" w:hAnsi="Arial" w:cs="Arial"/>
          <w:color w:val="000000"/>
          <w:sz w:val="18"/>
          <w:szCs w:val="18"/>
          <w:lang w:val="en-US" w:eastAsia="fr-FR"/>
        </w:rPr>
        <w:t xml:space="preserve"> to it, it had not been able to express an opinion on the consistent application of the criteria and the cost-benefit analysis across regions. However, the applicants do not indicate how the considerations set out in ACER’s opinion have an actual impact on the lawfulness of the contested regulation in relation to the proposed Aquind interconnector.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50</w:t>
      </w:r>
      <w:r w:rsidRPr="00297478">
        <w:rPr>
          <w:rFonts w:ascii="Arial" w:eastAsia="Times New Roman" w:hAnsi="Arial" w:cs="Arial"/>
          <w:color w:val="000000"/>
          <w:sz w:val="18"/>
          <w:szCs w:val="18"/>
          <w:lang w:val="en-US" w:eastAsia="fr-FR"/>
        </w:rPr>
        <w:t xml:space="preserve">      The Commission was not able to include the proposed Aquind interconnector in the new Union list of PCIs on the ground that the French Republic had not given its approval, that Member State having considered that there was a risk of overcapacity and that the proposed Aquind interconnector </w:t>
      </w:r>
      <w:proofErr w:type="gramStart"/>
      <w:r w:rsidRPr="00297478">
        <w:rPr>
          <w:rFonts w:ascii="Arial" w:eastAsia="Times New Roman" w:hAnsi="Arial" w:cs="Arial"/>
          <w:color w:val="000000"/>
          <w:sz w:val="18"/>
          <w:szCs w:val="18"/>
          <w:lang w:val="en-US" w:eastAsia="fr-FR"/>
        </w:rPr>
        <w:t>was regarded</w:t>
      </w:r>
      <w:proofErr w:type="gramEnd"/>
      <w:r w:rsidRPr="00297478">
        <w:rPr>
          <w:rFonts w:ascii="Arial" w:eastAsia="Times New Roman" w:hAnsi="Arial" w:cs="Arial"/>
          <w:color w:val="000000"/>
          <w:sz w:val="18"/>
          <w:szCs w:val="18"/>
          <w:lang w:val="en-US" w:eastAsia="fr-FR"/>
        </w:rPr>
        <w:t xml:space="preserve"> as the most uncertain. The issue of the consistent application of the criteria and the cost-benefit analysis across regions therefore had no effect on the decision not to include that project in the Union list of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51</w:t>
      </w:r>
      <w:r w:rsidRPr="00297478">
        <w:rPr>
          <w:rFonts w:ascii="Arial" w:eastAsia="Times New Roman" w:hAnsi="Arial" w:cs="Arial"/>
          <w:color w:val="000000"/>
          <w:sz w:val="18"/>
          <w:szCs w:val="18"/>
          <w:lang w:val="en-US" w:eastAsia="fr-FR"/>
        </w:rPr>
        <w:t>      Secondly, the applicants’ argument that the high-level decision-making body of the regional group concerned and the Commission infringed the requirements of Annex III.2(13) to Regulation No 347/2013 on the ground that they did not take into consideration ACER’s opinion on the consistent application of the assessment criteria and of the cost-benefit analysis across regions is neither clear nor substantiated.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52</w:t>
      </w:r>
      <w:r w:rsidRPr="00297478">
        <w:rPr>
          <w:rFonts w:ascii="Arial" w:eastAsia="Times New Roman" w:hAnsi="Arial" w:cs="Arial"/>
          <w:color w:val="000000"/>
          <w:sz w:val="18"/>
          <w:szCs w:val="18"/>
          <w:lang w:val="en-US" w:eastAsia="fr-FR"/>
        </w:rPr>
        <w:t xml:space="preserve">      First of all, in general terms, the contested regulation states, in recital 5, that the high-level decision-making body of the regional group concerned did in fact take account of ACER’s opinion when it adopted its final regional list. </w:t>
      </w:r>
      <w:proofErr w:type="gramStart"/>
      <w:r w:rsidRPr="00297478">
        <w:rPr>
          <w:rFonts w:ascii="Arial" w:eastAsia="Times New Roman" w:hAnsi="Arial" w:cs="Arial"/>
          <w:color w:val="000000"/>
          <w:sz w:val="18"/>
          <w:szCs w:val="18"/>
          <w:lang w:val="en-US" w:eastAsia="fr-FR"/>
        </w:rPr>
        <w:t>Next, the ACER opinion includes a section A.4.1.3 specifically devoted to the proposed Aquind interconnector, which highlights the differences between the regulatory authorities of the French Republic and the United Kingdom, and the reasons why the French regulatory authority, namely the Commission de régulation de l’énergie (Energy Regulatory Authority; CRE), opposed the inclusion of that project in the final regional list.</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Lastly, and in any event, it must be borne in mind that the French Republic refused to approve that project for reasons connected with the risk of overcapacity and because the proposed Aquind interconnector was considered to be the most uncertain, that the high-level decision-making body of the regional group concerned and the Commission were bound by that refusal and that, in those circumstances, they cannot be criticised for not taking ACER’s opinion into account.</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53</w:t>
      </w:r>
      <w:r w:rsidRPr="00297478">
        <w:rPr>
          <w:rFonts w:ascii="Arial" w:eastAsia="Times New Roman" w:hAnsi="Arial" w:cs="Arial"/>
          <w:color w:val="000000"/>
          <w:sz w:val="18"/>
          <w:szCs w:val="18"/>
          <w:lang w:val="en-US" w:eastAsia="fr-FR"/>
        </w:rPr>
        <w:t>      Thirdly, the applicants allege that the Commission failed to ensure cross-regional consistency in accordance with Article 3(5)(b) of Regulation No 347/2013, submitting, in essence, that a significant number of projects which had not progressed or had been regularly reprogrammed had been included in the Union list of PCIs and that, therefore, the contention that the proposed Aquind interconnector was the most uncertain did not amount to an obstacle to its eligibility as a Union PCI.</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54</w:t>
      </w:r>
      <w:r w:rsidRPr="00297478">
        <w:rPr>
          <w:rFonts w:ascii="Arial" w:eastAsia="Times New Roman" w:hAnsi="Arial" w:cs="Arial"/>
          <w:color w:val="000000"/>
          <w:sz w:val="18"/>
          <w:szCs w:val="18"/>
          <w:lang w:val="en-US" w:eastAsia="fr-FR"/>
        </w:rPr>
        <w:t>      That argument cannot succeed. The applicants merely repeat the content of ACER’s opinion on that point, but they do not demonstrate that that could call into question the lawfulness of the contested regulation as regards the proposed Aquind interconnector.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55</w:t>
      </w:r>
      <w:r w:rsidRPr="00297478">
        <w:rPr>
          <w:rFonts w:ascii="Arial" w:eastAsia="Times New Roman" w:hAnsi="Arial" w:cs="Arial"/>
          <w:color w:val="000000"/>
          <w:sz w:val="18"/>
          <w:szCs w:val="18"/>
          <w:lang w:val="en-US" w:eastAsia="fr-FR"/>
        </w:rPr>
        <w:t xml:space="preserve">      It should be noted that the Commission was required to take into consideration the French Republic’s refusal to give its approval to the inclusion of the proposed Aquind interconnector in the Union list of PCIs, and that it could not call into question the </w:t>
      </w:r>
      <w:proofErr w:type="gramStart"/>
      <w:r w:rsidRPr="00297478">
        <w:rPr>
          <w:rFonts w:ascii="Arial" w:eastAsia="Times New Roman" w:hAnsi="Arial" w:cs="Arial"/>
          <w:color w:val="000000"/>
          <w:sz w:val="18"/>
          <w:szCs w:val="18"/>
          <w:lang w:val="en-US" w:eastAsia="fr-FR"/>
        </w:rPr>
        <w:t>reasons</w:t>
      </w:r>
      <w:proofErr w:type="gramEnd"/>
      <w:r w:rsidRPr="00297478">
        <w:rPr>
          <w:rFonts w:ascii="Arial" w:eastAsia="Times New Roman" w:hAnsi="Arial" w:cs="Arial"/>
          <w:color w:val="000000"/>
          <w:sz w:val="18"/>
          <w:szCs w:val="18"/>
          <w:lang w:val="en-US" w:eastAsia="fr-FR"/>
        </w:rPr>
        <w:t xml:space="preserve"> why that project was the most uncertain. </w:t>
      </w:r>
      <w:proofErr w:type="gramStart"/>
      <w:r w:rsidRPr="00297478">
        <w:rPr>
          <w:rFonts w:ascii="Arial" w:eastAsia="Times New Roman" w:hAnsi="Arial" w:cs="Arial"/>
          <w:color w:val="000000"/>
          <w:sz w:val="18"/>
          <w:szCs w:val="18"/>
          <w:lang w:val="en-US" w:eastAsia="fr-FR"/>
        </w:rPr>
        <w:t>In that regard, it should be recalled that point (a) of the second subparagraph of Article 3(3) of Regulation No 347/2013 provides that ‘when a Group draws up its regional list: … each individual proposal for a project of common interest shall require the approval of the Member States, to whose territory the project relates’ and that ‘if a Member State decides not to give its approval, it shall present its substantiated reasons for doing so to the [regional] Group concerned’.</w:t>
      </w:r>
      <w:proofErr w:type="gramEnd"/>
      <w:r w:rsidRPr="00297478">
        <w:rPr>
          <w:rFonts w:ascii="Arial" w:eastAsia="Times New Roman" w:hAnsi="Arial" w:cs="Arial"/>
          <w:color w:val="000000"/>
          <w:sz w:val="18"/>
          <w:szCs w:val="18"/>
          <w:lang w:val="en-US" w:eastAsia="fr-FR"/>
        </w:rPr>
        <w:t xml:space="preserve">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10) to that regulation states that, if a Member State of that regional group so requests, the high-level decision-making body of that group must examine those reasons. The Commission was therefore not empowered to request that the reasons relied on by the French Republic be examined, and it therefore did not make any error in that regard. In the present case, no Member State has come forward to ask the French Republic to explain the reasons for its refusal.</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56</w:t>
      </w:r>
      <w:r w:rsidRPr="00297478">
        <w:rPr>
          <w:rFonts w:ascii="Arial" w:eastAsia="Times New Roman" w:hAnsi="Arial" w:cs="Arial"/>
          <w:color w:val="000000"/>
          <w:sz w:val="18"/>
          <w:szCs w:val="18"/>
          <w:lang w:val="en-US" w:eastAsia="fr-FR"/>
        </w:rPr>
        <w:t xml:space="preserve">      Even if, as the applicants submit, the French Republic’s conclusion that the proposed Aquind interconnector was the most uncertain is the result of an assessment error, the Commission did not have the power to correct it, any more than the General Court </w:t>
      </w:r>
      <w:proofErr w:type="gramStart"/>
      <w:r w:rsidRPr="00297478">
        <w:rPr>
          <w:rFonts w:ascii="Arial" w:eastAsia="Times New Roman" w:hAnsi="Arial" w:cs="Arial"/>
          <w:color w:val="000000"/>
          <w:sz w:val="18"/>
          <w:szCs w:val="18"/>
          <w:lang w:val="en-US" w:eastAsia="fr-FR"/>
        </w:rPr>
        <w:t>itself</w:t>
      </w:r>
      <w:proofErr w:type="gramEnd"/>
      <w:r w:rsidRPr="00297478">
        <w:rPr>
          <w:rFonts w:ascii="Arial" w:eastAsia="Times New Roman" w:hAnsi="Arial" w:cs="Arial"/>
          <w:color w:val="000000"/>
          <w:sz w:val="18"/>
          <w:szCs w:val="18"/>
          <w:lang w:val="en-US" w:eastAsia="fr-FR"/>
        </w:rPr>
        <w:t xml:space="preserve"> has jurisdiction to examine that issue. In that regard, it must be pointed out that, </w:t>
      </w:r>
      <w:r w:rsidRPr="00297478">
        <w:rPr>
          <w:rFonts w:ascii="Arial" w:eastAsia="Times New Roman" w:hAnsi="Arial" w:cs="Arial"/>
          <w:color w:val="000000"/>
          <w:sz w:val="18"/>
          <w:szCs w:val="18"/>
          <w:lang w:val="en-US" w:eastAsia="fr-FR"/>
        </w:rPr>
        <w:lastRenderedPageBreak/>
        <w:t>at the hearing, and without being challenged on that point by the applicants, the French Republic stated that its refusal to give its approval to the inclusion of the proposed Aquind interconnector in the Union list of PCIs was challenged before the tribunal administratif de Paris (Administrative Court, Paris, France).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57</w:t>
      </w:r>
      <w:r w:rsidRPr="00297478">
        <w:rPr>
          <w:rFonts w:ascii="Arial" w:eastAsia="Times New Roman" w:hAnsi="Arial" w:cs="Arial"/>
          <w:color w:val="000000"/>
          <w:sz w:val="18"/>
          <w:szCs w:val="18"/>
          <w:lang w:val="en-US" w:eastAsia="fr-FR"/>
        </w:rPr>
        <w:t>      By the second complaint, the applicants allege that the regional group infringed Article 3(2) of Regulation No 347/2013 in that it did not adopt rules of procedure.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58</w:t>
      </w:r>
      <w:r w:rsidRPr="00297478">
        <w:rPr>
          <w:rFonts w:ascii="Arial" w:eastAsia="Times New Roman" w:hAnsi="Arial" w:cs="Arial"/>
          <w:color w:val="000000"/>
          <w:sz w:val="18"/>
          <w:szCs w:val="18"/>
          <w:lang w:val="en-US" w:eastAsia="fr-FR"/>
        </w:rPr>
        <w:t xml:space="preserve">      Article 3(2) of Regulation No 347/2013 provides that each regional group is to adopt its own rules of procedure taking into account the provisions of Annex III. </w:t>
      </w:r>
      <w:proofErr w:type="gramStart"/>
      <w:r w:rsidRPr="00297478">
        <w:rPr>
          <w:rFonts w:ascii="Arial" w:eastAsia="Times New Roman" w:hAnsi="Arial" w:cs="Arial"/>
          <w:color w:val="000000"/>
          <w:sz w:val="18"/>
          <w:szCs w:val="18"/>
          <w:lang w:val="en-US" w:eastAsia="fr-FR"/>
        </w:rPr>
        <w:t>It is apparent from the documents adduced before the Court by the applicants themselves that the rules of procedure had been adopted in the form of a mandate from several regional gas and electricity groups, including the ‘Northern Seas Offshore Grid’ – that is to say, the priority corridors and areas, and the geographical coverage of which the proposed Aquind interconnector forms part.</w:t>
      </w:r>
      <w:proofErr w:type="gramEnd"/>
      <w:r w:rsidRPr="00297478">
        <w:rPr>
          <w:rFonts w:ascii="Arial" w:eastAsia="Times New Roman" w:hAnsi="Arial" w:cs="Arial"/>
          <w:color w:val="000000"/>
          <w:sz w:val="18"/>
          <w:szCs w:val="18"/>
          <w:lang w:val="en-US" w:eastAsia="fr-FR"/>
        </w:rPr>
        <w:t xml:space="preserve"> The applicants themselves state that they were able to acquaint themselves with those rules of procedure via the Union PCI portal and were able to download them.</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59</w:t>
      </w:r>
      <w:r w:rsidRPr="00297478">
        <w:rPr>
          <w:rFonts w:ascii="Arial" w:eastAsia="Times New Roman" w:hAnsi="Arial" w:cs="Arial"/>
          <w:color w:val="000000"/>
          <w:sz w:val="18"/>
          <w:szCs w:val="18"/>
          <w:lang w:val="en-US" w:eastAsia="fr-FR"/>
        </w:rPr>
        <w:t xml:space="preserve">      The fact that the rules of procedure contained the words ‘Draft’ is irrelevant in that regard. On the applicants’ own admission expressed in their written pleadings, they were perfectly aware of the fact that, despite that reference, it was the final version of the rules of procedure, which </w:t>
      </w:r>
      <w:proofErr w:type="gramStart"/>
      <w:r w:rsidRPr="00297478">
        <w:rPr>
          <w:rFonts w:ascii="Arial" w:eastAsia="Times New Roman" w:hAnsi="Arial" w:cs="Arial"/>
          <w:color w:val="000000"/>
          <w:sz w:val="18"/>
          <w:szCs w:val="18"/>
          <w:lang w:val="en-US" w:eastAsia="fr-FR"/>
        </w:rPr>
        <w:t>was, moreover, evidenced</w:t>
      </w:r>
      <w:proofErr w:type="gramEnd"/>
      <w:r w:rsidRPr="00297478">
        <w:rPr>
          <w:rFonts w:ascii="Arial" w:eastAsia="Times New Roman" w:hAnsi="Arial" w:cs="Arial"/>
          <w:color w:val="000000"/>
          <w:sz w:val="18"/>
          <w:szCs w:val="18"/>
          <w:lang w:val="en-US" w:eastAsia="fr-FR"/>
        </w:rPr>
        <w:t xml:space="preserve"> by the fact that the name of the electronic file included the word ‘Final’. In those circumstances, they cannot merely assert in a vague and unsubstantiated manner that the regional group of the ‘Northern Seas Offshore Grid’ did not adopt rules of procedure, and that therefore the process lacked transparency and did not offer them minimum guarantees.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60</w:t>
      </w:r>
      <w:r w:rsidRPr="00297478">
        <w:rPr>
          <w:rFonts w:ascii="Arial" w:eastAsia="Times New Roman" w:hAnsi="Arial" w:cs="Arial"/>
          <w:color w:val="000000"/>
          <w:sz w:val="18"/>
          <w:szCs w:val="18"/>
          <w:lang w:val="en-US" w:eastAsia="fr-FR"/>
        </w:rPr>
        <w:t xml:space="preserve">      The basis of the third complaint is that the delays in the implementation of the proposed Aquind interconnector cannot constitute a reason for not including that project in the Union list of PCIs. The applicants maintain that the regional group had already examined that issue, did not find any problem linked to those delays </w:t>
      </w:r>
      <w:proofErr w:type="gramStart"/>
      <w:r w:rsidRPr="00297478">
        <w:rPr>
          <w:rFonts w:ascii="Arial" w:eastAsia="Times New Roman" w:hAnsi="Arial" w:cs="Arial"/>
          <w:color w:val="000000"/>
          <w:sz w:val="18"/>
          <w:szCs w:val="18"/>
          <w:lang w:val="en-US" w:eastAsia="fr-FR"/>
        </w:rPr>
        <w:t>and, moreover,</w:t>
      </w:r>
      <w:proofErr w:type="gramEnd"/>
      <w:r w:rsidRPr="00297478">
        <w:rPr>
          <w:rFonts w:ascii="Arial" w:eastAsia="Times New Roman" w:hAnsi="Arial" w:cs="Arial"/>
          <w:color w:val="000000"/>
          <w:sz w:val="18"/>
          <w:szCs w:val="18"/>
          <w:lang w:val="en-US" w:eastAsia="fr-FR"/>
        </w:rPr>
        <w:t xml:space="preserve"> did not invite them to justify their position on that point.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61</w:t>
      </w:r>
      <w:r w:rsidRPr="00297478">
        <w:rPr>
          <w:rFonts w:ascii="Arial" w:eastAsia="Times New Roman" w:hAnsi="Arial" w:cs="Arial"/>
          <w:color w:val="000000"/>
          <w:sz w:val="18"/>
          <w:szCs w:val="18"/>
          <w:lang w:val="en-US" w:eastAsia="fr-FR"/>
        </w:rPr>
        <w:t xml:space="preserve">      That complaint is not relevant. The delays in implementing the proposed Aquind interconnector </w:t>
      </w:r>
      <w:proofErr w:type="gramStart"/>
      <w:r w:rsidRPr="00297478">
        <w:rPr>
          <w:rFonts w:ascii="Arial" w:eastAsia="Times New Roman" w:hAnsi="Arial" w:cs="Arial"/>
          <w:color w:val="000000"/>
          <w:sz w:val="18"/>
          <w:szCs w:val="18"/>
          <w:lang w:val="en-US" w:eastAsia="fr-FR"/>
        </w:rPr>
        <w:t>were not relied on</w:t>
      </w:r>
      <w:proofErr w:type="gramEnd"/>
      <w:r w:rsidRPr="00297478">
        <w:rPr>
          <w:rFonts w:ascii="Arial" w:eastAsia="Times New Roman" w:hAnsi="Arial" w:cs="Arial"/>
          <w:color w:val="000000"/>
          <w:sz w:val="18"/>
          <w:szCs w:val="18"/>
          <w:lang w:val="en-US" w:eastAsia="fr-FR"/>
        </w:rPr>
        <w:t xml:space="preserve"> by the French Republic, within the high-level decision-making body of the regional group of the ‘Northern Seas Offshore Grid’, as reasons for refusing to give its approval to the proposed Aquind interconnector.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62</w:t>
      </w:r>
      <w:r w:rsidRPr="00297478">
        <w:rPr>
          <w:rFonts w:ascii="Arial" w:eastAsia="Times New Roman" w:hAnsi="Arial" w:cs="Arial"/>
          <w:color w:val="000000"/>
          <w:sz w:val="18"/>
          <w:szCs w:val="18"/>
          <w:lang w:val="en-US" w:eastAsia="fr-FR"/>
        </w:rPr>
        <w:t xml:space="preserve">      Admittedly, it is apparent from ACER’s opinion of 25 September 2019 that the CRE mentioned the delay in implementing the proposed Aquind interconnector and that it is one of the reasons why the CRE opposed the inclusion of that project in the Union list of PCIs. However, as the Commission rightly states, the position of a national regulatory authority </w:t>
      </w:r>
      <w:proofErr w:type="gramStart"/>
      <w:r w:rsidRPr="00297478">
        <w:rPr>
          <w:rFonts w:ascii="Arial" w:eastAsia="Times New Roman" w:hAnsi="Arial" w:cs="Arial"/>
          <w:color w:val="000000"/>
          <w:sz w:val="18"/>
          <w:szCs w:val="18"/>
          <w:lang w:val="en-US" w:eastAsia="fr-FR"/>
        </w:rPr>
        <w:t>cannot be interpreted</w:t>
      </w:r>
      <w:proofErr w:type="gramEnd"/>
      <w:r w:rsidRPr="00297478">
        <w:rPr>
          <w:rFonts w:ascii="Arial" w:eastAsia="Times New Roman" w:hAnsi="Arial" w:cs="Arial"/>
          <w:color w:val="000000"/>
          <w:sz w:val="18"/>
          <w:szCs w:val="18"/>
          <w:lang w:val="en-US" w:eastAsia="fr-FR"/>
        </w:rPr>
        <w:t xml:space="preserve"> as being the position of a Member State within the high-level decision-making body of the regional group concerned. Moreover, it is not apparent from any document that the French Republic adopted the reasons relied on by that national regulatory authority.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63</w:t>
      </w:r>
      <w:r w:rsidRPr="00297478">
        <w:rPr>
          <w:rFonts w:ascii="Arial" w:eastAsia="Times New Roman" w:hAnsi="Arial" w:cs="Arial"/>
          <w:color w:val="000000"/>
          <w:sz w:val="18"/>
          <w:szCs w:val="18"/>
          <w:lang w:val="en-US" w:eastAsia="fr-FR"/>
        </w:rPr>
        <w:t>      For that reason, the applicants’ argument that no comments were made at the meeting of the regional network group of the ‘Northern Seas Offshore Grid’ on 28 May 2019 on the delay encountered by the proposed Aquind interconnector in its implementation, and on which the applicants were not called upon to justify themselves, is also irrelevant.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64</w:t>
      </w:r>
      <w:r w:rsidRPr="00297478">
        <w:rPr>
          <w:rFonts w:ascii="Arial" w:eastAsia="Times New Roman" w:hAnsi="Arial" w:cs="Arial"/>
          <w:color w:val="000000"/>
          <w:sz w:val="18"/>
          <w:szCs w:val="18"/>
          <w:lang w:val="en-US" w:eastAsia="fr-FR"/>
        </w:rPr>
        <w:t>      As regards the fourth complaint, alleging inconsistencies and inaccuracies in the Artelys study relating to the cost-benefit analysis, like the third complaint, it too is irrelevant.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65</w:t>
      </w:r>
      <w:r w:rsidRPr="00297478">
        <w:rPr>
          <w:rFonts w:ascii="Arial" w:eastAsia="Times New Roman" w:hAnsi="Arial" w:cs="Arial"/>
          <w:color w:val="000000"/>
          <w:sz w:val="18"/>
          <w:szCs w:val="18"/>
          <w:lang w:val="en-US" w:eastAsia="fr-FR"/>
        </w:rPr>
        <w:t xml:space="preserve">      The reason why the Commission did not include the proposed Aquind interconnector in the contested regulation relates to the French Republic’s opposition to that project, which </w:t>
      </w:r>
      <w:proofErr w:type="gramStart"/>
      <w:r w:rsidRPr="00297478">
        <w:rPr>
          <w:rFonts w:ascii="Arial" w:eastAsia="Times New Roman" w:hAnsi="Arial" w:cs="Arial"/>
          <w:color w:val="000000"/>
          <w:sz w:val="18"/>
          <w:szCs w:val="18"/>
          <w:lang w:val="en-US" w:eastAsia="fr-FR"/>
        </w:rPr>
        <w:t>is based</w:t>
      </w:r>
      <w:proofErr w:type="gramEnd"/>
      <w:r w:rsidRPr="00297478">
        <w:rPr>
          <w:rFonts w:ascii="Arial" w:eastAsia="Times New Roman" w:hAnsi="Arial" w:cs="Arial"/>
          <w:color w:val="000000"/>
          <w:sz w:val="18"/>
          <w:szCs w:val="18"/>
          <w:lang w:val="en-US" w:eastAsia="fr-FR"/>
        </w:rPr>
        <w:t xml:space="preserve"> on reasons unrelated to the Artelys study. In that regard, it is apparent from paragraph A.4.1.3 of ACER’s opinion of 25 September 2019 that it is the CRE, and not the French Republic, which relied, inter alia, on that study to justify its opposition to the proposed Aquind interconnector.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66</w:t>
      </w:r>
      <w:r w:rsidRPr="00297478">
        <w:rPr>
          <w:rFonts w:ascii="Arial" w:eastAsia="Times New Roman" w:hAnsi="Arial" w:cs="Arial"/>
          <w:color w:val="000000"/>
          <w:sz w:val="18"/>
          <w:szCs w:val="18"/>
          <w:lang w:val="en-US" w:eastAsia="fr-FR"/>
        </w:rPr>
        <w:t xml:space="preserve">      In the fifth complaint, the applicants submit that the Aquind project </w:t>
      </w:r>
      <w:proofErr w:type="gramStart"/>
      <w:r w:rsidRPr="00297478">
        <w:rPr>
          <w:rFonts w:ascii="Arial" w:eastAsia="Times New Roman" w:hAnsi="Arial" w:cs="Arial"/>
          <w:color w:val="000000"/>
          <w:sz w:val="18"/>
          <w:szCs w:val="18"/>
          <w:lang w:val="en-US" w:eastAsia="fr-FR"/>
        </w:rPr>
        <w:t>could be removed</w:t>
      </w:r>
      <w:proofErr w:type="gramEnd"/>
      <w:r w:rsidRPr="00297478">
        <w:rPr>
          <w:rFonts w:ascii="Arial" w:eastAsia="Times New Roman" w:hAnsi="Arial" w:cs="Arial"/>
          <w:color w:val="000000"/>
          <w:sz w:val="18"/>
          <w:szCs w:val="18"/>
          <w:lang w:val="en-US" w:eastAsia="fr-FR"/>
        </w:rPr>
        <w:t xml:space="preserve"> from the Union list of PCIs only in the case provided for in Article 5(8) of Regulation No 347/2013. They submit that Article 3(3)(a) of Regulation No 347/2013 requires a Member State which refuses an individual proposal for a PCI to present the ‘reasons’ for that refusal, so that its decision cannot be purely arbitrary. </w:t>
      </w:r>
      <w:proofErr w:type="gramStart"/>
      <w:r w:rsidRPr="00297478">
        <w:rPr>
          <w:rFonts w:ascii="Arial" w:eastAsia="Times New Roman" w:hAnsi="Arial" w:cs="Arial"/>
          <w:color w:val="000000"/>
          <w:sz w:val="18"/>
          <w:szCs w:val="18"/>
          <w:lang w:val="en-US" w:eastAsia="fr-FR"/>
        </w:rPr>
        <w:t>They state that the French Republic did not give reasons for its refusal to approve the proposed Aquind interconnector and that the Commission thus seems to have considered that it was possible to remove the project for a reason other than the one provided for in Article 5(8) of Regulation No 347/2013, namely that the project was no longer supported by the Member State in whose territory it was to be operated.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67</w:t>
      </w:r>
      <w:r w:rsidRPr="00297478">
        <w:rPr>
          <w:rFonts w:ascii="Arial" w:eastAsia="Times New Roman" w:hAnsi="Arial" w:cs="Arial"/>
          <w:color w:val="000000"/>
          <w:sz w:val="18"/>
          <w:szCs w:val="18"/>
          <w:lang w:val="en-US" w:eastAsia="fr-FR"/>
        </w:rPr>
        <w:t xml:space="preserve">      First, Article 5(8) of Regulation No 347/2013 refers only to cases in which a project that has already been included in the Union list of PCIs is removed from that list, that is to say, where the project has been included in that list on </w:t>
      </w:r>
      <w:r w:rsidRPr="00297478">
        <w:rPr>
          <w:rFonts w:ascii="Arial" w:eastAsia="Times New Roman" w:hAnsi="Arial" w:cs="Arial"/>
          <w:color w:val="000000"/>
          <w:sz w:val="18"/>
          <w:szCs w:val="18"/>
          <w:lang w:val="en-US" w:eastAsia="fr-FR"/>
        </w:rPr>
        <w:lastRenderedPageBreak/>
        <w:t>the basis of incorrect information which was a decisive factor in that listing or where the project does not comply with EU law.</w:t>
      </w:r>
      <w:proofErr w:type="gramEnd"/>
      <w:r w:rsidRPr="00297478">
        <w:rPr>
          <w:rFonts w:ascii="Arial" w:eastAsia="Times New Roman" w:hAnsi="Arial" w:cs="Arial"/>
          <w:color w:val="000000"/>
          <w:sz w:val="18"/>
          <w:szCs w:val="18"/>
          <w:lang w:val="en-US" w:eastAsia="fr-FR"/>
        </w:rPr>
        <w:t xml:space="preserve"> Therefore, that provision does not deal with the inclusion of projects on the new list every two years.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68</w:t>
      </w:r>
      <w:proofErr w:type="gramEnd"/>
      <w:r w:rsidRPr="00297478">
        <w:rPr>
          <w:rFonts w:ascii="Arial" w:eastAsia="Times New Roman" w:hAnsi="Arial" w:cs="Arial"/>
          <w:color w:val="000000"/>
          <w:sz w:val="18"/>
          <w:szCs w:val="18"/>
          <w:lang w:val="en-US" w:eastAsia="fr-FR"/>
        </w:rPr>
        <w:t>      In that regard, it should be noted that the proposed Aquind interconnector was not ‘removed’ from the Union list of PCIs; rather, it was not included in the new list at the end of the procedure for drawing up that list. Article 5(8) of Regulation No 347/2013 is therefore irrelevant in the present case.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69</w:t>
      </w:r>
      <w:r w:rsidRPr="00297478">
        <w:rPr>
          <w:rFonts w:ascii="Arial" w:eastAsia="Times New Roman" w:hAnsi="Arial" w:cs="Arial"/>
          <w:color w:val="000000"/>
          <w:sz w:val="18"/>
          <w:szCs w:val="18"/>
          <w:lang w:val="en-US" w:eastAsia="fr-FR"/>
        </w:rPr>
        <w:t xml:space="preserve">      That conclusion </w:t>
      </w:r>
      <w:proofErr w:type="gramStart"/>
      <w:r w:rsidRPr="00297478">
        <w:rPr>
          <w:rFonts w:ascii="Arial" w:eastAsia="Times New Roman" w:hAnsi="Arial" w:cs="Arial"/>
          <w:color w:val="000000"/>
          <w:sz w:val="18"/>
          <w:szCs w:val="18"/>
          <w:lang w:val="en-US" w:eastAsia="fr-FR"/>
        </w:rPr>
        <w:t>is confirmed</w:t>
      </w:r>
      <w:proofErr w:type="gramEnd"/>
      <w:r w:rsidRPr="00297478">
        <w:rPr>
          <w:rFonts w:ascii="Arial" w:eastAsia="Times New Roman" w:hAnsi="Arial" w:cs="Arial"/>
          <w:color w:val="000000"/>
          <w:sz w:val="18"/>
          <w:szCs w:val="18"/>
          <w:lang w:val="en-US" w:eastAsia="fr-FR"/>
        </w:rPr>
        <w:t xml:space="preserve"> by recital 24 of Regulation No 347/2013. </w:t>
      </w:r>
      <w:proofErr w:type="gramStart"/>
      <w:r w:rsidRPr="00297478">
        <w:rPr>
          <w:rFonts w:ascii="Arial" w:eastAsia="Times New Roman" w:hAnsi="Arial" w:cs="Arial"/>
          <w:color w:val="000000"/>
          <w:sz w:val="18"/>
          <w:szCs w:val="18"/>
          <w:lang w:val="en-US" w:eastAsia="fr-FR"/>
        </w:rPr>
        <w:t>That recital states unequivocally that a ‘new’ Union list of PCIs is to be drawn up every two years, that existing PCIs to be included in the new Union list of PCIs are subject to the same selection procedure as the projects proposed for the purpose of drawing up Union lists of PCIs, and that those which no longer meet the relevant criteria and requirements laid down by that regulation should not be included in the new Union list of PCIs.</w:t>
      </w:r>
      <w:proofErr w:type="gramEnd"/>
      <w:r w:rsidRPr="00297478">
        <w:rPr>
          <w:rFonts w:ascii="Arial" w:eastAsia="Times New Roman" w:hAnsi="Arial" w:cs="Arial"/>
          <w:color w:val="000000"/>
          <w:sz w:val="18"/>
          <w:szCs w:val="18"/>
          <w:lang w:val="en-US" w:eastAsia="fr-FR"/>
        </w:rPr>
        <w:t xml:space="preserve"> Projects that have already been included in the previous Union list of PCIs therefore do not have any advantage over the new projects. Regulation No 347/2013 is limited to pragmatic consideration, in recital 24, stating that, in order to minimise the resulting administrative burden for earlier projects as much as possible, use </w:t>
      </w:r>
      <w:proofErr w:type="gramStart"/>
      <w:r w:rsidRPr="00297478">
        <w:rPr>
          <w:rFonts w:ascii="Arial" w:eastAsia="Times New Roman" w:hAnsi="Arial" w:cs="Arial"/>
          <w:color w:val="000000"/>
          <w:sz w:val="18"/>
          <w:szCs w:val="18"/>
          <w:lang w:val="en-US" w:eastAsia="fr-FR"/>
        </w:rPr>
        <w:t>should be made</w:t>
      </w:r>
      <w:proofErr w:type="gramEnd"/>
      <w:r w:rsidRPr="00297478">
        <w:rPr>
          <w:rFonts w:ascii="Arial" w:eastAsia="Times New Roman" w:hAnsi="Arial" w:cs="Arial"/>
          <w:color w:val="000000"/>
          <w:sz w:val="18"/>
          <w:szCs w:val="18"/>
          <w:lang w:val="en-US" w:eastAsia="fr-FR"/>
        </w:rPr>
        <w:t>, to the extent possible, of information submitted previously, and account should be taken of the annual reports of the promoters of those earlier projects.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70</w:t>
      </w:r>
      <w:r w:rsidRPr="00297478">
        <w:rPr>
          <w:rFonts w:ascii="Arial" w:eastAsia="Times New Roman" w:hAnsi="Arial" w:cs="Arial"/>
          <w:color w:val="000000"/>
          <w:sz w:val="18"/>
          <w:szCs w:val="18"/>
          <w:lang w:val="en-US" w:eastAsia="fr-FR"/>
        </w:rPr>
        <w:t>      Secondly, the applicants rely, unsuccessfully, on point (a) of the second subparagraph of Article 3(3) of Regulation No 347/2013 in order to argue that the exercise of a Member State’s right of veto to the inclusion of a project in the Union list of PCIs is limited only to the first inclusion of that project in that list.</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71</w:t>
      </w:r>
      <w:r w:rsidRPr="00297478">
        <w:rPr>
          <w:rFonts w:ascii="Arial" w:eastAsia="Times New Roman" w:hAnsi="Arial" w:cs="Arial"/>
          <w:color w:val="000000"/>
          <w:sz w:val="18"/>
          <w:szCs w:val="18"/>
          <w:lang w:val="en-US" w:eastAsia="fr-FR"/>
        </w:rPr>
        <w:t>      Point (a) of the second subparagraph of Article 3(3) of Regulation No 347/2013 provides that ‘when a Group draws up its regional list: … each individual proposal for a [PCI] shall require the approval of the Member States, to whose territory the project relates’ and that ‘if a Member State decides not to give its approval, it shall present its substantiated reasons for doing so to the [regional] Group concerned’.</w:t>
      </w:r>
      <w:proofErr w:type="gramEnd"/>
      <w:r w:rsidRPr="00297478">
        <w:rPr>
          <w:rFonts w:ascii="Arial" w:eastAsia="Times New Roman" w:hAnsi="Arial" w:cs="Arial"/>
          <w:color w:val="000000"/>
          <w:sz w:val="18"/>
          <w:szCs w:val="18"/>
          <w:lang w:val="en-US" w:eastAsia="fr-FR"/>
        </w:rPr>
        <w:t xml:space="preserve">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10) to that regulation states that, if a Member State of the group so requests, the high-level decision-making body of the regional group concerned must examine those reasons.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72</w:t>
      </w:r>
      <w:r w:rsidRPr="00297478">
        <w:rPr>
          <w:rFonts w:ascii="Arial" w:eastAsia="Times New Roman" w:hAnsi="Arial" w:cs="Arial"/>
          <w:color w:val="000000"/>
          <w:sz w:val="18"/>
          <w:szCs w:val="18"/>
          <w:lang w:val="en-US" w:eastAsia="fr-FR"/>
        </w:rPr>
        <w:t xml:space="preserve">      Those provisions of Regulation No 347/2013 make no distinction as to whether a project is for the first time the subject of an application for inclusion or has already been included in the previous list. They therefore apply each time a new list </w:t>
      </w:r>
      <w:proofErr w:type="gramStart"/>
      <w:r w:rsidRPr="00297478">
        <w:rPr>
          <w:rFonts w:ascii="Arial" w:eastAsia="Times New Roman" w:hAnsi="Arial" w:cs="Arial"/>
          <w:color w:val="000000"/>
          <w:sz w:val="18"/>
          <w:szCs w:val="18"/>
          <w:lang w:val="en-US" w:eastAsia="fr-FR"/>
        </w:rPr>
        <w:t>is drawn up</w:t>
      </w:r>
      <w:proofErr w:type="gramEnd"/>
      <w:r w:rsidRPr="00297478">
        <w:rPr>
          <w:rFonts w:ascii="Arial" w:eastAsia="Times New Roman" w:hAnsi="Arial" w:cs="Arial"/>
          <w:color w:val="000000"/>
          <w:sz w:val="18"/>
          <w:szCs w:val="18"/>
          <w:lang w:val="en-US" w:eastAsia="fr-FR"/>
        </w:rPr>
        <w:t xml:space="preserve"> and thus refer to any project to which a Member State is opposed.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73</w:t>
      </w:r>
      <w:r w:rsidRPr="00297478">
        <w:rPr>
          <w:rFonts w:ascii="Arial" w:eastAsia="Times New Roman" w:hAnsi="Arial" w:cs="Arial"/>
          <w:color w:val="000000"/>
          <w:sz w:val="18"/>
          <w:szCs w:val="18"/>
          <w:lang w:val="en-US" w:eastAsia="fr-FR"/>
        </w:rPr>
        <w:t>      The fact that a Member State must present the reasons for refusing to approve a project and that the high-level decision-making body of the regional group concerned is called upon to examine those reasons at the request of another Member State of that group still does not mean that the Member State’s right of veto may be exercised only on the basis of a criterion laid down in Regulation No 347/2013.</w:t>
      </w:r>
      <w:proofErr w:type="gramEnd"/>
      <w:r w:rsidRPr="00297478">
        <w:rPr>
          <w:rFonts w:ascii="Arial" w:eastAsia="Times New Roman" w:hAnsi="Arial" w:cs="Arial"/>
          <w:color w:val="000000"/>
          <w:sz w:val="18"/>
          <w:szCs w:val="18"/>
          <w:lang w:val="en-US" w:eastAsia="fr-FR"/>
        </w:rPr>
        <w:t xml:space="preserve"> First, the Member State has a discretion under the second paragraph of Article 172 TFEU to refuse to give its approval to including a project in the Union list of PCIs. </w:t>
      </w:r>
      <w:proofErr w:type="gramStart"/>
      <w:r w:rsidRPr="00297478">
        <w:rPr>
          <w:rFonts w:ascii="Arial" w:eastAsia="Times New Roman" w:hAnsi="Arial" w:cs="Arial"/>
          <w:color w:val="000000"/>
          <w:sz w:val="18"/>
          <w:szCs w:val="18"/>
          <w:lang w:val="en-US" w:eastAsia="fr-FR"/>
        </w:rPr>
        <w:t>Secondly, and in that respect, it does not follow from point (a) of the second subparagraph of Article 3(3) of Regulation No 347/2013, or from any other provisions of that regulation, that the ‘reasons’ on the basis of which the Member State may refuse to give its approval are limited to cases in which non-compliance with Regulation No 347/2013, in particular, or with EU law, in general, is found.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74</w:t>
      </w:r>
      <w:r w:rsidRPr="00297478">
        <w:rPr>
          <w:rFonts w:ascii="Arial" w:eastAsia="Times New Roman" w:hAnsi="Arial" w:cs="Arial"/>
          <w:color w:val="000000"/>
          <w:sz w:val="18"/>
          <w:szCs w:val="18"/>
          <w:lang w:val="en-US" w:eastAsia="fr-FR"/>
        </w:rPr>
        <w:t>      Furthermore, contrary to what is claimed by the applicants, there was no infringement of point (a) of the second subparagraph of Article 3(3) of Regulation No 347/2013, since the Commission correctly found, in the present case, that the French Republic had presented the reasons for refusing to approve the inclusion of the proposed Aquind interconnector in the Union list of PCIs.</w:t>
      </w:r>
      <w:proofErr w:type="gramEnd"/>
      <w:r w:rsidRPr="00297478">
        <w:rPr>
          <w:rFonts w:ascii="Arial" w:eastAsia="Times New Roman" w:hAnsi="Arial" w:cs="Arial"/>
          <w:color w:val="000000"/>
          <w:sz w:val="18"/>
          <w:szCs w:val="18"/>
          <w:lang w:val="en-US" w:eastAsia="fr-FR"/>
        </w:rPr>
        <w:t xml:space="preserve"> The respective minutes of the meeting of the technical decision-making bodies and of the meeting of the high-level decision-making body of the regional group concerned mention that the French Republic considered that the four proposed interconnectors between France and the United Kingdom would lead to overcapacity and that the proposed Aquind interconnector was the most uncertain of those projects.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75</w:t>
      </w:r>
      <w:r w:rsidRPr="00297478">
        <w:rPr>
          <w:rFonts w:ascii="Arial" w:eastAsia="Times New Roman" w:hAnsi="Arial" w:cs="Arial"/>
          <w:color w:val="000000"/>
          <w:sz w:val="18"/>
          <w:szCs w:val="18"/>
          <w:lang w:val="en-US" w:eastAsia="fr-FR"/>
        </w:rPr>
        <w:t xml:space="preserve">      It follows from all the foregoing that the second plea in law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fourth and fifth pleas in law, alleging, respectively, infringement of the right to good administration and infringement of the principle of equal treatment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76</w:t>
      </w:r>
      <w:r w:rsidRPr="00297478">
        <w:rPr>
          <w:rFonts w:ascii="Arial" w:eastAsia="Times New Roman" w:hAnsi="Arial" w:cs="Arial"/>
          <w:color w:val="000000"/>
          <w:sz w:val="18"/>
          <w:szCs w:val="18"/>
          <w:lang w:val="en-US" w:eastAsia="fr-FR"/>
        </w:rPr>
        <w:t xml:space="preserve">      The fourth and fifth pleas allege, respectively, infringement of the right to good administration and infringement of the principle of equal treatment. The applicants submit that the Commission is responsible for amending the Union list of PCIs and therefore has the right and the duty to ensure compliance with the principles of good administration and equal treatment, and with other general principles of EU law. They emphasise that they did not have the opportunity to </w:t>
      </w:r>
      <w:proofErr w:type="gramStart"/>
      <w:r w:rsidRPr="00297478">
        <w:rPr>
          <w:rFonts w:ascii="Arial" w:eastAsia="Times New Roman" w:hAnsi="Arial" w:cs="Arial"/>
          <w:color w:val="000000"/>
          <w:sz w:val="18"/>
          <w:szCs w:val="18"/>
          <w:lang w:val="en-US" w:eastAsia="fr-FR"/>
        </w:rPr>
        <w:t>be heard</w:t>
      </w:r>
      <w:proofErr w:type="gramEnd"/>
      <w:r w:rsidRPr="00297478">
        <w:rPr>
          <w:rFonts w:ascii="Arial" w:eastAsia="Times New Roman" w:hAnsi="Arial" w:cs="Arial"/>
          <w:color w:val="000000"/>
          <w:sz w:val="18"/>
          <w:szCs w:val="18"/>
          <w:lang w:val="en-US" w:eastAsia="fr-FR"/>
        </w:rPr>
        <w:t xml:space="preserve"> during meetings of the technical decision-making body or of the high-level decision-making body. They also submit that, as a member of all the ‘decision-making bodies’, the Commission must adopt the Union list of PCIs under a delegation of legislative power and that it is therefore in a position to amend the regional lists proposed by the bodies.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lastRenderedPageBreak/>
        <w:t>77</w:t>
      </w:r>
      <w:r w:rsidRPr="00297478">
        <w:rPr>
          <w:rFonts w:ascii="Arial" w:eastAsia="Times New Roman" w:hAnsi="Arial" w:cs="Arial"/>
          <w:color w:val="000000"/>
          <w:sz w:val="18"/>
          <w:szCs w:val="18"/>
          <w:lang w:val="en-US" w:eastAsia="fr-FR"/>
        </w:rPr>
        <w:t>      The Commission, supported by the Kingdom of Spain and the French Republic, disputes the fourth and fifth pleas.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78</w:t>
      </w:r>
      <w:r w:rsidRPr="00297478">
        <w:rPr>
          <w:rFonts w:ascii="Arial" w:eastAsia="Times New Roman" w:hAnsi="Arial" w:cs="Arial"/>
          <w:color w:val="000000"/>
          <w:sz w:val="18"/>
          <w:szCs w:val="18"/>
          <w:lang w:val="en-US" w:eastAsia="fr-FR"/>
        </w:rPr>
        <w:t>      First, it should be recalled that the right to good administration is one of the guarantees conferred by the European Union’s legal order in administrative procedures and is enshrined in Article 41 of the Charter (see, to that effect, judgment of 14 November 2017, </w:t>
      </w:r>
      <w:r w:rsidRPr="00297478">
        <w:rPr>
          <w:rFonts w:ascii="Arial" w:eastAsia="Times New Roman" w:hAnsi="Arial" w:cs="Arial"/>
          <w:i/>
          <w:iCs/>
          <w:color w:val="000000"/>
          <w:sz w:val="18"/>
          <w:szCs w:val="18"/>
          <w:lang w:val="en-US" w:eastAsia="fr-FR"/>
        </w:rPr>
        <w:t>Alfamicro</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831/14, not published, EU:T:2017:804, paragraph 165 and the case-law cited).</w:t>
      </w:r>
      <w:proofErr w:type="gramEnd"/>
      <w:r w:rsidRPr="00297478">
        <w:rPr>
          <w:rFonts w:ascii="Arial" w:eastAsia="Times New Roman" w:hAnsi="Arial" w:cs="Arial"/>
          <w:color w:val="000000"/>
          <w:sz w:val="18"/>
          <w:szCs w:val="18"/>
          <w:lang w:val="en-US" w:eastAsia="fr-FR"/>
        </w:rPr>
        <w:t xml:space="preserve"> Article 41(1) of the Charter provides that ‘every person has the right to have his or her affairs handled impartially, fairly and within a reasonable time by the institutions, bodies, offices and agencies of the Union’. Article 41(2) of the Charter states that the right to good administration includes, inter alia, the right of every person to be heard before any individual </w:t>
      </w:r>
      <w:proofErr w:type="gramStart"/>
      <w:r w:rsidRPr="00297478">
        <w:rPr>
          <w:rFonts w:ascii="Arial" w:eastAsia="Times New Roman" w:hAnsi="Arial" w:cs="Arial"/>
          <w:color w:val="000000"/>
          <w:sz w:val="18"/>
          <w:szCs w:val="18"/>
          <w:lang w:val="en-US" w:eastAsia="fr-FR"/>
        </w:rPr>
        <w:t>measure which would affect him or her adversely</w:t>
      </w:r>
      <w:proofErr w:type="gramEnd"/>
      <w:r w:rsidRPr="00297478">
        <w:rPr>
          <w:rFonts w:ascii="Arial" w:eastAsia="Times New Roman" w:hAnsi="Arial" w:cs="Arial"/>
          <w:color w:val="000000"/>
          <w:sz w:val="18"/>
          <w:szCs w:val="18"/>
          <w:lang w:val="en-US" w:eastAsia="fr-FR"/>
        </w:rPr>
        <w:t xml:space="preserve"> is taken.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79</w:t>
      </w:r>
      <w:r w:rsidRPr="00297478">
        <w:rPr>
          <w:rFonts w:ascii="Arial" w:eastAsia="Times New Roman" w:hAnsi="Arial" w:cs="Arial"/>
          <w:color w:val="000000"/>
          <w:sz w:val="18"/>
          <w:szCs w:val="18"/>
          <w:lang w:val="en-US" w:eastAsia="fr-FR"/>
        </w:rPr>
        <w:t>      Furthermore, the Commission is required to observe the principle of equal treatment or non-discrimination, which requires that comparable situations must not be treated differently and that different situations must not be treated in the same way unless such treatment is objectively justified (judgment of 15 April 2010, </w:t>
      </w:r>
      <w:r w:rsidRPr="00297478">
        <w:rPr>
          <w:rFonts w:ascii="Arial" w:eastAsia="Times New Roman" w:hAnsi="Arial" w:cs="Arial"/>
          <w:i/>
          <w:iCs/>
          <w:color w:val="000000"/>
          <w:sz w:val="18"/>
          <w:szCs w:val="18"/>
          <w:lang w:val="en-US" w:eastAsia="fr-FR"/>
        </w:rPr>
        <w:t>Gualtieri</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485/08 P, EU:C:2010:188, paragraph 70). Compliance with the principle of equal treatment must, however, be reconciled with that of the principle of legality (judgment of 17 January 2013, </w:t>
      </w:r>
      <w:r w:rsidRPr="00297478">
        <w:rPr>
          <w:rFonts w:ascii="Arial" w:eastAsia="Times New Roman" w:hAnsi="Arial" w:cs="Arial"/>
          <w:i/>
          <w:iCs/>
          <w:color w:val="000000"/>
          <w:sz w:val="18"/>
          <w:szCs w:val="18"/>
          <w:lang w:val="en-US" w:eastAsia="fr-FR"/>
        </w:rPr>
        <w:t>Gollnisch</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Parliament</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346/11 and T</w:t>
      </w:r>
      <w:r w:rsidRPr="00297478">
        <w:rPr>
          <w:rFonts w:ascii="Arial" w:eastAsia="Times New Roman" w:hAnsi="Arial" w:cs="Arial"/>
          <w:color w:val="000000"/>
          <w:sz w:val="18"/>
          <w:szCs w:val="18"/>
          <w:lang w:val="en-US" w:eastAsia="fr-FR"/>
        </w:rPr>
        <w:noBreakHyphen/>
        <w:t>347/11, EU</w:t>
      </w:r>
      <w:proofErr w:type="gramStart"/>
      <w:r w:rsidRPr="00297478">
        <w:rPr>
          <w:rFonts w:ascii="Arial" w:eastAsia="Times New Roman" w:hAnsi="Arial" w:cs="Arial"/>
          <w:color w:val="000000"/>
          <w:sz w:val="18"/>
          <w:szCs w:val="18"/>
          <w:lang w:val="en-US" w:eastAsia="fr-FR"/>
        </w:rPr>
        <w:t>:T:2013:23</w:t>
      </w:r>
      <w:proofErr w:type="gramEnd"/>
      <w:r w:rsidRPr="00297478">
        <w:rPr>
          <w:rFonts w:ascii="Arial" w:eastAsia="Times New Roman" w:hAnsi="Arial" w:cs="Arial"/>
          <w:color w:val="000000"/>
          <w:sz w:val="18"/>
          <w:szCs w:val="18"/>
          <w:lang w:val="en-US" w:eastAsia="fr-FR"/>
        </w:rPr>
        <w:t>, paragraph 109).</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80</w:t>
      </w:r>
      <w:r w:rsidRPr="00297478">
        <w:rPr>
          <w:rFonts w:ascii="Arial" w:eastAsia="Times New Roman" w:hAnsi="Arial" w:cs="Arial"/>
          <w:color w:val="000000"/>
          <w:sz w:val="18"/>
          <w:szCs w:val="18"/>
          <w:lang w:val="en-US" w:eastAsia="fr-FR"/>
        </w:rPr>
        <w:t xml:space="preserve">      In the second place, the examination of the fourth and fifth pleas involves determining what roles </w:t>
      </w:r>
      <w:proofErr w:type="gramStart"/>
      <w:r w:rsidRPr="00297478">
        <w:rPr>
          <w:rFonts w:ascii="Arial" w:eastAsia="Times New Roman" w:hAnsi="Arial" w:cs="Arial"/>
          <w:color w:val="000000"/>
          <w:sz w:val="18"/>
          <w:szCs w:val="18"/>
          <w:lang w:val="en-US" w:eastAsia="fr-FR"/>
        </w:rPr>
        <w:t>are allocated by Regulation No 347/2013</w:t>
      </w:r>
      <w:proofErr w:type="gramEnd"/>
      <w:r w:rsidRPr="00297478">
        <w:rPr>
          <w:rFonts w:ascii="Arial" w:eastAsia="Times New Roman" w:hAnsi="Arial" w:cs="Arial"/>
          <w:color w:val="000000"/>
          <w:sz w:val="18"/>
          <w:szCs w:val="18"/>
          <w:lang w:val="en-US" w:eastAsia="fr-FR"/>
        </w:rPr>
        <w:t xml:space="preserve"> to each of the participants in the procedure for the inclusion of proposed projects in the Union list of PCIs and the conduct of that procedure.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81</w:t>
      </w:r>
      <w:r w:rsidRPr="00297478">
        <w:rPr>
          <w:rFonts w:ascii="Arial" w:eastAsia="Times New Roman" w:hAnsi="Arial" w:cs="Arial"/>
          <w:color w:val="000000"/>
          <w:sz w:val="18"/>
          <w:szCs w:val="18"/>
          <w:lang w:val="en-US" w:eastAsia="fr-FR"/>
        </w:rPr>
        <w:t>      First, as provided for in Article 3(3) of Regulation No 347/2013, it is for the regional group concerned to draw up the regional list of proposed PCIs. In that regard, it should be recalled that the group in question consists of representatives of the Member States, the national regulatory authorities and the transmission system operators, and representatives of the Commission, ACER and the European Network of Transmission System Operators for Electricity (see Annex III.1(1) to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82</w:t>
      </w:r>
      <w:r w:rsidRPr="00297478">
        <w:rPr>
          <w:rFonts w:ascii="Arial" w:eastAsia="Times New Roman" w:hAnsi="Arial" w:cs="Arial"/>
          <w:color w:val="000000"/>
          <w:sz w:val="18"/>
          <w:szCs w:val="18"/>
          <w:lang w:val="en-US" w:eastAsia="fr-FR"/>
        </w:rPr>
        <w:t>      Promoters of a project potentially eligible for selection as a PCI wanting to obtain the status of projects of common interest must submit an application for selection as a PCI to the group (see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 xml:space="preserve">1) to Regulation No 347/2013). </w:t>
      </w:r>
      <w:proofErr w:type="gramStart"/>
      <w:r w:rsidRPr="00297478">
        <w:rPr>
          <w:rFonts w:ascii="Arial" w:eastAsia="Times New Roman" w:hAnsi="Arial" w:cs="Arial"/>
          <w:color w:val="000000"/>
          <w:sz w:val="18"/>
          <w:szCs w:val="18"/>
          <w:lang w:val="en-US" w:eastAsia="fr-FR"/>
        </w:rPr>
        <w:t>For proposed projects such as the one proposed for the project for an electricity interconnector, the national regulatory authorities and, if necessary, ACER are to ensure the consistent application of the criteria and of the methodology for the cost-benefit analysis, evaluate the importance of their cross-border dimension and present their assessment to the group (see Annex III.2(7) to Regulation No 347/2013).</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83</w:t>
      </w:r>
      <w:r w:rsidRPr="00297478">
        <w:rPr>
          <w:rFonts w:ascii="Arial" w:eastAsia="Times New Roman" w:hAnsi="Arial" w:cs="Arial"/>
          <w:color w:val="000000"/>
          <w:sz w:val="18"/>
          <w:szCs w:val="18"/>
          <w:lang w:val="en-US" w:eastAsia="fr-FR"/>
        </w:rPr>
        <w:t xml:space="preserve">      It must be borne in mind that the legislation provides, in essence, that, when drawing up its regional list of proposed Union PCIs, the regional group concerned must take account of the fact that each individual proposal for a PCI requires the approval of the Member States whose territory </w:t>
      </w:r>
      <w:proofErr w:type="gramStart"/>
      <w:r w:rsidRPr="00297478">
        <w:rPr>
          <w:rFonts w:ascii="Arial" w:eastAsia="Times New Roman" w:hAnsi="Arial" w:cs="Arial"/>
          <w:color w:val="000000"/>
          <w:sz w:val="18"/>
          <w:szCs w:val="18"/>
          <w:lang w:val="en-US" w:eastAsia="fr-FR"/>
        </w:rPr>
        <w:t>is affected</w:t>
      </w:r>
      <w:proofErr w:type="gramEnd"/>
      <w:r w:rsidRPr="00297478">
        <w:rPr>
          <w:rFonts w:ascii="Arial" w:eastAsia="Times New Roman" w:hAnsi="Arial" w:cs="Arial"/>
          <w:color w:val="000000"/>
          <w:sz w:val="18"/>
          <w:szCs w:val="18"/>
          <w:lang w:val="en-US" w:eastAsia="fr-FR"/>
        </w:rPr>
        <w:t xml:space="preserve"> by the project. A Member </w:t>
      </w:r>
      <w:proofErr w:type="gramStart"/>
      <w:r w:rsidRPr="00297478">
        <w:rPr>
          <w:rFonts w:ascii="Arial" w:eastAsia="Times New Roman" w:hAnsi="Arial" w:cs="Arial"/>
          <w:color w:val="000000"/>
          <w:sz w:val="18"/>
          <w:szCs w:val="18"/>
          <w:lang w:val="en-US" w:eastAsia="fr-FR"/>
        </w:rPr>
        <w:t>State which refuses to give its approval</w:t>
      </w:r>
      <w:proofErr w:type="gramEnd"/>
      <w:r w:rsidRPr="00297478">
        <w:rPr>
          <w:rFonts w:ascii="Arial" w:eastAsia="Times New Roman" w:hAnsi="Arial" w:cs="Arial"/>
          <w:color w:val="000000"/>
          <w:sz w:val="18"/>
          <w:szCs w:val="18"/>
          <w:lang w:val="en-US" w:eastAsia="fr-FR"/>
        </w:rPr>
        <w:t xml:space="preserve"> will have to present the reasons for this refusal to the group concerned (see point (a) of the second subparagraph of Article 3(3) of Regulation No 347/2013). In that context, it is provided that, if a Member State of the group so requests, the high-level decision-making body of that group will have to examine the reasons put forward by the Member State to justify its refusal to approve a project of common interest concerning its territory (see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10) to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84</w:t>
      </w:r>
      <w:r w:rsidRPr="00297478">
        <w:rPr>
          <w:rFonts w:ascii="Arial" w:eastAsia="Times New Roman" w:hAnsi="Arial" w:cs="Arial"/>
          <w:color w:val="000000"/>
          <w:sz w:val="18"/>
          <w:szCs w:val="18"/>
          <w:lang w:val="en-US" w:eastAsia="fr-FR"/>
        </w:rPr>
        <w:t xml:space="preserve">      The draft of the regional lists of proposed projects drawn up by the group is to </w:t>
      </w:r>
      <w:proofErr w:type="gramStart"/>
      <w:r w:rsidRPr="00297478">
        <w:rPr>
          <w:rFonts w:ascii="Arial" w:eastAsia="Times New Roman" w:hAnsi="Arial" w:cs="Arial"/>
          <w:color w:val="000000"/>
          <w:sz w:val="18"/>
          <w:szCs w:val="18"/>
          <w:lang w:val="en-US" w:eastAsia="fr-FR"/>
        </w:rPr>
        <w:t>be communicated</w:t>
      </w:r>
      <w:proofErr w:type="gramEnd"/>
      <w:r w:rsidRPr="00297478">
        <w:rPr>
          <w:rFonts w:ascii="Arial" w:eastAsia="Times New Roman" w:hAnsi="Arial" w:cs="Arial"/>
          <w:color w:val="000000"/>
          <w:sz w:val="18"/>
          <w:szCs w:val="18"/>
          <w:lang w:val="en-US" w:eastAsia="fr-FR"/>
        </w:rPr>
        <w:t xml:space="preserve"> to ACER. ACER then assesses the draft of those lists and adopts an opinion on that draft – which will deal with, inter alia, the consistent application of the criteria and the cost-benefit analysis across regions (see point (a) of the second subparagraph of Article 3(3) of Regulation No 347/2013 and Annex III.2(12) to that regulation).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85</w:t>
      </w:r>
      <w:r w:rsidRPr="00297478">
        <w:rPr>
          <w:rFonts w:ascii="Arial" w:eastAsia="Times New Roman" w:hAnsi="Arial" w:cs="Arial"/>
          <w:color w:val="000000"/>
          <w:sz w:val="18"/>
          <w:szCs w:val="18"/>
          <w:lang w:val="en-US" w:eastAsia="fr-FR"/>
        </w:rPr>
        <w:t>      Following ACER’s opinion, the high-level decision-making body of the regional group concerned ‘adopts’ the final regional list of proposed Union PCIs, on the basis of the group’s proposal and taking into account ACER’s opinion and the evaluation of the competent national regulatory authorities. That body presents the final regional list to the Commission.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86</w:t>
      </w:r>
      <w:r w:rsidRPr="00297478">
        <w:rPr>
          <w:rFonts w:ascii="Arial" w:eastAsia="Times New Roman" w:hAnsi="Arial" w:cs="Arial"/>
          <w:color w:val="000000"/>
          <w:sz w:val="18"/>
          <w:szCs w:val="18"/>
          <w:lang w:val="en-US" w:eastAsia="fr-FR"/>
        </w:rPr>
        <w:t>      </w:t>
      </w:r>
      <w:proofErr w:type="gramStart"/>
      <w:r w:rsidRPr="00297478">
        <w:rPr>
          <w:rFonts w:ascii="Arial" w:eastAsia="Times New Roman" w:hAnsi="Arial" w:cs="Arial"/>
          <w:color w:val="000000"/>
          <w:sz w:val="18"/>
          <w:szCs w:val="18"/>
          <w:lang w:val="en-US" w:eastAsia="fr-FR"/>
        </w:rPr>
        <w:t>Under</w:t>
      </w:r>
      <w:proofErr w:type="gramEnd"/>
      <w:r w:rsidRPr="00297478">
        <w:rPr>
          <w:rFonts w:ascii="Arial" w:eastAsia="Times New Roman" w:hAnsi="Arial" w:cs="Arial"/>
          <w:color w:val="000000"/>
          <w:sz w:val="18"/>
          <w:szCs w:val="18"/>
          <w:lang w:val="en-US" w:eastAsia="fr-FR"/>
        </w:rPr>
        <w:t xml:space="preserve"> a delegation of power, the Commission is empowered to adopt delegated acts which establish the Union list of PCIs. However, recital 23 of </w:t>
      </w:r>
      <w:proofErr w:type="gramStart"/>
      <w:r w:rsidRPr="00297478">
        <w:rPr>
          <w:rFonts w:ascii="Arial" w:eastAsia="Times New Roman" w:hAnsi="Arial" w:cs="Arial"/>
          <w:color w:val="000000"/>
          <w:sz w:val="18"/>
          <w:szCs w:val="18"/>
          <w:lang w:val="en-US" w:eastAsia="fr-FR"/>
        </w:rPr>
        <w:t>Regulation No 347/2013</w:t>
      </w:r>
      <w:proofErr w:type="gramEnd"/>
      <w:r w:rsidRPr="00297478">
        <w:rPr>
          <w:rFonts w:ascii="Arial" w:eastAsia="Times New Roman" w:hAnsi="Arial" w:cs="Arial"/>
          <w:color w:val="000000"/>
          <w:sz w:val="18"/>
          <w:szCs w:val="18"/>
          <w:lang w:val="en-US" w:eastAsia="fr-FR"/>
        </w:rPr>
        <w:t xml:space="preserve"> states that the delegation to the Commission of the power to adopt and review that list in accordance with Article 290 TFEU is carried out ‘while respecting the right of the Member States to approve [Union PCIs] related to their territory’. To that effect, the first subparagraph of Article 3(4) of that regulation states that the power to adopt an </w:t>
      </w:r>
      <w:proofErr w:type="gramStart"/>
      <w:r w:rsidRPr="00297478">
        <w:rPr>
          <w:rFonts w:ascii="Arial" w:eastAsia="Times New Roman" w:hAnsi="Arial" w:cs="Arial"/>
          <w:color w:val="000000"/>
          <w:sz w:val="18"/>
          <w:szCs w:val="18"/>
          <w:lang w:val="en-US" w:eastAsia="fr-FR"/>
        </w:rPr>
        <w:t>act which establishes the list of Union PCIs</w:t>
      </w:r>
      <w:proofErr w:type="gramEnd"/>
      <w:r w:rsidRPr="00297478">
        <w:rPr>
          <w:rFonts w:ascii="Arial" w:eastAsia="Times New Roman" w:hAnsi="Arial" w:cs="Arial"/>
          <w:color w:val="000000"/>
          <w:sz w:val="18"/>
          <w:szCs w:val="18"/>
          <w:lang w:val="en-US" w:eastAsia="fr-FR"/>
        </w:rPr>
        <w:t xml:space="preserve"> is exercised ‘subject to the second paragraph of Article 172 of the TFEU’. The second paragraph of Article 172 TFEU provides that Union </w:t>
      </w:r>
      <w:proofErr w:type="gramStart"/>
      <w:r w:rsidRPr="00297478">
        <w:rPr>
          <w:rFonts w:ascii="Arial" w:eastAsia="Times New Roman" w:hAnsi="Arial" w:cs="Arial"/>
          <w:color w:val="000000"/>
          <w:sz w:val="18"/>
          <w:szCs w:val="18"/>
          <w:lang w:val="en-US" w:eastAsia="fr-FR"/>
        </w:rPr>
        <w:t>PCIs which</w:t>
      </w:r>
      <w:proofErr w:type="gramEnd"/>
      <w:r w:rsidRPr="00297478">
        <w:rPr>
          <w:rFonts w:ascii="Arial" w:eastAsia="Times New Roman" w:hAnsi="Arial" w:cs="Arial"/>
          <w:color w:val="000000"/>
          <w:sz w:val="18"/>
          <w:szCs w:val="18"/>
          <w:lang w:val="en-US" w:eastAsia="fr-FR"/>
        </w:rPr>
        <w:t xml:space="preserve"> relate to the territory of a Member State are to require the approval of that Member State.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87</w:t>
      </w:r>
      <w:r w:rsidRPr="00297478">
        <w:rPr>
          <w:rFonts w:ascii="Arial" w:eastAsia="Times New Roman" w:hAnsi="Arial" w:cs="Arial"/>
          <w:color w:val="000000"/>
          <w:sz w:val="18"/>
          <w:szCs w:val="18"/>
          <w:lang w:val="en-US" w:eastAsia="fr-FR"/>
        </w:rPr>
        <w:t xml:space="preserve">      Secondly, the conclusions below </w:t>
      </w:r>
      <w:proofErr w:type="gramStart"/>
      <w:r w:rsidRPr="00297478">
        <w:rPr>
          <w:rFonts w:ascii="Arial" w:eastAsia="Times New Roman" w:hAnsi="Arial" w:cs="Arial"/>
          <w:color w:val="000000"/>
          <w:sz w:val="18"/>
          <w:szCs w:val="18"/>
          <w:lang w:val="en-US" w:eastAsia="fr-FR"/>
        </w:rPr>
        <w:t>may be drawn</w:t>
      </w:r>
      <w:proofErr w:type="gramEnd"/>
      <w:r w:rsidRPr="00297478">
        <w:rPr>
          <w:rFonts w:ascii="Arial" w:eastAsia="Times New Roman" w:hAnsi="Arial" w:cs="Arial"/>
          <w:color w:val="000000"/>
          <w:sz w:val="18"/>
          <w:szCs w:val="18"/>
          <w:lang w:val="en-US" w:eastAsia="fr-FR"/>
        </w:rPr>
        <w:t xml:space="preserve"> from the description of the various stages of the procedure laid down in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lastRenderedPageBreak/>
        <w:t>88</w:t>
      </w:r>
      <w:r w:rsidRPr="00297478">
        <w:rPr>
          <w:rFonts w:ascii="Arial" w:eastAsia="Times New Roman" w:hAnsi="Arial" w:cs="Arial"/>
          <w:color w:val="000000"/>
          <w:sz w:val="18"/>
          <w:szCs w:val="18"/>
          <w:lang w:val="en-US" w:eastAsia="fr-FR"/>
        </w:rPr>
        <w:t>      First of all, neither the technical decision-making body of the regional group concerned (which draws up the regional list of proposed Union PCIs), nor the high-level decision-making body of that regional group (which adopts the regional list of proposed Union PCIs), nor the Commission (which adopts the delegated act definitively establishing the Union list of PCIs) may include, in those lists, an individual proposal for a project which has not received the approval of the Member State in whose territory the project is to be implemented.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89</w:t>
      </w:r>
      <w:r w:rsidRPr="00297478">
        <w:rPr>
          <w:rFonts w:ascii="Arial" w:eastAsia="Times New Roman" w:hAnsi="Arial" w:cs="Arial"/>
          <w:color w:val="000000"/>
          <w:sz w:val="18"/>
          <w:szCs w:val="18"/>
          <w:lang w:val="en-US" w:eastAsia="fr-FR"/>
        </w:rPr>
        <w:t>      Next, and as is apparent from the foregoing, the Commission does not have a discretion in definitively drawing up the Union list of PCIs, contrary to what is claimed, in essence, by the applicants.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90</w:t>
      </w:r>
      <w:r w:rsidRPr="00297478">
        <w:rPr>
          <w:rFonts w:ascii="Arial" w:eastAsia="Times New Roman" w:hAnsi="Arial" w:cs="Arial"/>
          <w:color w:val="000000"/>
          <w:sz w:val="18"/>
          <w:szCs w:val="18"/>
          <w:lang w:val="en-US" w:eastAsia="fr-FR"/>
        </w:rPr>
        <w:t xml:space="preserve">      The Commission’s delegated powers – conferred by Article 3(4) and Article 16 of Regulation No 347/2013, read together – to adopt definitively the Union list of PCIs </w:t>
      </w:r>
      <w:proofErr w:type="gramStart"/>
      <w:r w:rsidRPr="00297478">
        <w:rPr>
          <w:rFonts w:ascii="Arial" w:eastAsia="Times New Roman" w:hAnsi="Arial" w:cs="Arial"/>
          <w:color w:val="000000"/>
          <w:sz w:val="18"/>
          <w:szCs w:val="18"/>
          <w:lang w:val="en-US" w:eastAsia="fr-FR"/>
        </w:rPr>
        <w:t>must be exercised</w:t>
      </w:r>
      <w:proofErr w:type="gramEnd"/>
      <w:r w:rsidRPr="00297478">
        <w:rPr>
          <w:rFonts w:ascii="Arial" w:eastAsia="Times New Roman" w:hAnsi="Arial" w:cs="Arial"/>
          <w:color w:val="000000"/>
          <w:sz w:val="18"/>
          <w:szCs w:val="18"/>
          <w:lang w:val="en-US" w:eastAsia="fr-FR"/>
        </w:rPr>
        <w:t xml:space="preserve"> within the limits of the provisions of the FEU Treaty and of Regulation No 347/2013. As has already been pointed out in paragraph 86 above, the Commission’s power to adopt delegated acts </w:t>
      </w:r>
      <w:proofErr w:type="gramStart"/>
      <w:r w:rsidRPr="00297478">
        <w:rPr>
          <w:rFonts w:ascii="Arial" w:eastAsia="Times New Roman" w:hAnsi="Arial" w:cs="Arial"/>
          <w:color w:val="000000"/>
          <w:sz w:val="18"/>
          <w:szCs w:val="18"/>
          <w:lang w:val="en-US" w:eastAsia="fr-FR"/>
        </w:rPr>
        <w:t>is exercised</w:t>
      </w:r>
      <w:proofErr w:type="gramEnd"/>
      <w:r w:rsidRPr="00297478">
        <w:rPr>
          <w:rFonts w:ascii="Arial" w:eastAsia="Times New Roman" w:hAnsi="Arial" w:cs="Arial"/>
          <w:color w:val="000000"/>
          <w:sz w:val="18"/>
          <w:szCs w:val="18"/>
          <w:lang w:val="en-US" w:eastAsia="fr-FR"/>
        </w:rPr>
        <w:t xml:space="preserve"> ‘subject to the second paragraph of Article 172 of the TFEU’. The Commission thus has no power to add to the list in question a </w:t>
      </w:r>
      <w:proofErr w:type="gramStart"/>
      <w:r w:rsidRPr="00297478">
        <w:rPr>
          <w:rFonts w:ascii="Arial" w:eastAsia="Times New Roman" w:hAnsi="Arial" w:cs="Arial"/>
          <w:color w:val="000000"/>
          <w:sz w:val="18"/>
          <w:szCs w:val="18"/>
          <w:lang w:val="en-US" w:eastAsia="fr-FR"/>
        </w:rPr>
        <w:t>project which</w:t>
      </w:r>
      <w:proofErr w:type="gramEnd"/>
      <w:r w:rsidRPr="00297478">
        <w:rPr>
          <w:rFonts w:ascii="Arial" w:eastAsia="Times New Roman" w:hAnsi="Arial" w:cs="Arial"/>
          <w:color w:val="000000"/>
          <w:sz w:val="18"/>
          <w:szCs w:val="18"/>
          <w:lang w:val="en-US" w:eastAsia="fr-FR"/>
        </w:rPr>
        <w:t xml:space="preserve"> has been refused approval by a Member State on whose territory the project was to be implemented.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91</w:t>
      </w:r>
      <w:r w:rsidRPr="00297478">
        <w:rPr>
          <w:rFonts w:ascii="Arial" w:eastAsia="Times New Roman" w:hAnsi="Arial" w:cs="Arial"/>
          <w:color w:val="000000"/>
          <w:sz w:val="18"/>
          <w:szCs w:val="18"/>
          <w:lang w:val="en-US" w:eastAsia="fr-FR"/>
        </w:rPr>
        <w:t>      Similarly, it is apparent both from the second subparagraph of Article 3(4) and from Article 3(5) of Regulation No 347/2013 that the task of ensuring that the Union list of PCIs is drawn up every two years and that of adopting that list, which falls to the Commission, are carried out ‘on the basis of the regional lists’ of proposed Union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92</w:t>
      </w:r>
      <w:r w:rsidRPr="00297478">
        <w:rPr>
          <w:rFonts w:ascii="Arial" w:eastAsia="Times New Roman" w:hAnsi="Arial" w:cs="Arial"/>
          <w:color w:val="000000"/>
          <w:sz w:val="18"/>
          <w:szCs w:val="18"/>
          <w:lang w:val="en-US" w:eastAsia="fr-FR"/>
        </w:rPr>
        <w:t>      In the context of that task, the Commission’s powers are precisely defined as ‘[ensuring] that only those projects that fulfil the criteria referred to in Article 4 [of Regulation No 347/2013] are included [in the Union list of PICs]’ (Article 3(5)(a) of Regulation No 347/2013), ‘[ensuring] cross-regional consistency, taking into account the opinion of [ACER]’ (Article 3(5)(b) of Regulation No 347/2013) and ‘[aiming] for a manageable total number of projects … on the Union list [of PCIs]’ (Article 3(5)(d) of Regulation No 347/2013).</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93</w:t>
      </w:r>
      <w:r w:rsidRPr="00297478">
        <w:rPr>
          <w:rFonts w:ascii="Arial" w:eastAsia="Times New Roman" w:hAnsi="Arial" w:cs="Arial"/>
          <w:color w:val="000000"/>
          <w:sz w:val="18"/>
          <w:szCs w:val="18"/>
          <w:lang w:val="en-US" w:eastAsia="fr-FR"/>
        </w:rPr>
        <w:t xml:space="preserve">      Those three </w:t>
      </w:r>
      <w:proofErr w:type="gramStart"/>
      <w:r w:rsidRPr="00297478">
        <w:rPr>
          <w:rFonts w:ascii="Arial" w:eastAsia="Times New Roman" w:hAnsi="Arial" w:cs="Arial"/>
          <w:color w:val="000000"/>
          <w:sz w:val="18"/>
          <w:szCs w:val="18"/>
          <w:lang w:val="en-US" w:eastAsia="fr-FR"/>
        </w:rPr>
        <w:t>powers which were conferred on the Commission</w:t>
      </w:r>
      <w:proofErr w:type="gramEnd"/>
      <w:r w:rsidRPr="00297478">
        <w:rPr>
          <w:rFonts w:ascii="Arial" w:eastAsia="Times New Roman" w:hAnsi="Arial" w:cs="Arial"/>
          <w:color w:val="000000"/>
          <w:sz w:val="18"/>
          <w:szCs w:val="18"/>
          <w:lang w:val="en-US" w:eastAsia="fr-FR"/>
        </w:rPr>
        <w:t xml:space="preserve"> can logically be exercised only in respect of projects which appear on the regional lists of proposed Union PCIs. The Commission can assess compliance with the criteria applicable to PCIs, set out in Article 4 of Regulation No 347/2013, only as regards the projects included in those lists. The examination of compliance with those criteria cannot relate to a </w:t>
      </w:r>
      <w:proofErr w:type="gramStart"/>
      <w:r w:rsidRPr="00297478">
        <w:rPr>
          <w:rFonts w:ascii="Arial" w:eastAsia="Times New Roman" w:hAnsi="Arial" w:cs="Arial"/>
          <w:color w:val="000000"/>
          <w:sz w:val="18"/>
          <w:szCs w:val="18"/>
          <w:lang w:val="en-US" w:eastAsia="fr-FR"/>
        </w:rPr>
        <w:t>project which</w:t>
      </w:r>
      <w:proofErr w:type="gramEnd"/>
      <w:r w:rsidRPr="00297478">
        <w:rPr>
          <w:rFonts w:ascii="Arial" w:eastAsia="Times New Roman" w:hAnsi="Arial" w:cs="Arial"/>
          <w:color w:val="000000"/>
          <w:sz w:val="18"/>
          <w:szCs w:val="18"/>
          <w:lang w:val="en-US" w:eastAsia="fr-FR"/>
        </w:rPr>
        <w:t xml:space="preserve">, because of the refusal at an earlier stage of the Member State on whose territory that project was to be implemented, is not even examined in the light of those criteria by the decision-making bodies of the regional group concerned. Therefore, by definition, the Commission cannot examine compliance with those criteria in relation to a project for which that examination </w:t>
      </w:r>
      <w:proofErr w:type="gramStart"/>
      <w:r w:rsidRPr="00297478">
        <w:rPr>
          <w:rFonts w:ascii="Arial" w:eastAsia="Times New Roman" w:hAnsi="Arial" w:cs="Arial"/>
          <w:color w:val="000000"/>
          <w:sz w:val="18"/>
          <w:szCs w:val="18"/>
          <w:lang w:val="en-US" w:eastAsia="fr-FR"/>
        </w:rPr>
        <w:t>has never been carried out</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94</w:t>
      </w:r>
      <w:r w:rsidRPr="00297478">
        <w:rPr>
          <w:rFonts w:ascii="Arial" w:eastAsia="Times New Roman" w:hAnsi="Arial" w:cs="Arial"/>
          <w:color w:val="000000"/>
          <w:sz w:val="18"/>
          <w:szCs w:val="18"/>
          <w:lang w:val="en-US" w:eastAsia="fr-FR"/>
        </w:rPr>
        <w:t xml:space="preserve">      A similar conclusion </w:t>
      </w:r>
      <w:proofErr w:type="gramStart"/>
      <w:r w:rsidRPr="00297478">
        <w:rPr>
          <w:rFonts w:ascii="Arial" w:eastAsia="Times New Roman" w:hAnsi="Arial" w:cs="Arial"/>
          <w:color w:val="000000"/>
          <w:sz w:val="18"/>
          <w:szCs w:val="18"/>
          <w:lang w:val="en-US" w:eastAsia="fr-FR"/>
        </w:rPr>
        <w:t>may be drawn</w:t>
      </w:r>
      <w:proofErr w:type="gramEnd"/>
      <w:r w:rsidRPr="00297478">
        <w:rPr>
          <w:rFonts w:ascii="Arial" w:eastAsia="Times New Roman" w:hAnsi="Arial" w:cs="Arial"/>
          <w:color w:val="000000"/>
          <w:sz w:val="18"/>
          <w:szCs w:val="18"/>
          <w:lang w:val="en-US" w:eastAsia="fr-FR"/>
        </w:rPr>
        <w:t xml:space="preserve"> in relation to the Commission’s competence to ensure cross-regional consistency, taking into account ACER’s opinion. Such competence </w:t>
      </w:r>
      <w:proofErr w:type="gramStart"/>
      <w:r w:rsidRPr="00297478">
        <w:rPr>
          <w:rFonts w:ascii="Arial" w:eastAsia="Times New Roman" w:hAnsi="Arial" w:cs="Arial"/>
          <w:color w:val="000000"/>
          <w:sz w:val="18"/>
          <w:szCs w:val="18"/>
          <w:lang w:val="en-US" w:eastAsia="fr-FR"/>
        </w:rPr>
        <w:t>can logically be exercised</w:t>
      </w:r>
      <w:proofErr w:type="gramEnd"/>
      <w:r w:rsidRPr="00297478">
        <w:rPr>
          <w:rFonts w:ascii="Arial" w:eastAsia="Times New Roman" w:hAnsi="Arial" w:cs="Arial"/>
          <w:color w:val="000000"/>
          <w:sz w:val="18"/>
          <w:szCs w:val="18"/>
          <w:lang w:val="en-US" w:eastAsia="fr-FR"/>
        </w:rPr>
        <w:t xml:space="preserve"> by the Commission only with regard to the projects included in the lists drawn up by the regional groups’ decision-making bodies. Therefore, it cannot relate to a </w:t>
      </w:r>
      <w:proofErr w:type="gramStart"/>
      <w:r w:rsidRPr="00297478">
        <w:rPr>
          <w:rFonts w:ascii="Arial" w:eastAsia="Times New Roman" w:hAnsi="Arial" w:cs="Arial"/>
          <w:color w:val="000000"/>
          <w:sz w:val="18"/>
          <w:szCs w:val="18"/>
          <w:lang w:val="en-US" w:eastAsia="fr-FR"/>
        </w:rPr>
        <w:t>project which</w:t>
      </w:r>
      <w:proofErr w:type="gramEnd"/>
      <w:r w:rsidRPr="00297478">
        <w:rPr>
          <w:rFonts w:ascii="Arial" w:eastAsia="Times New Roman" w:hAnsi="Arial" w:cs="Arial"/>
          <w:color w:val="000000"/>
          <w:sz w:val="18"/>
          <w:szCs w:val="18"/>
          <w:lang w:val="en-US" w:eastAsia="fr-FR"/>
        </w:rPr>
        <w:t xml:space="preserve"> was not included in those lists because approval was refused by a Member State on whose territory the project was to be implemented.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95</w:t>
      </w:r>
      <w:r w:rsidRPr="00297478">
        <w:rPr>
          <w:rFonts w:ascii="Arial" w:eastAsia="Times New Roman" w:hAnsi="Arial" w:cs="Arial"/>
          <w:color w:val="000000"/>
          <w:sz w:val="18"/>
          <w:szCs w:val="18"/>
          <w:lang w:val="en-US" w:eastAsia="fr-FR"/>
        </w:rPr>
        <w:t>      As regards the power to check whether the total number of projects is manageable, Annex </w:t>
      </w:r>
      <w:proofErr w:type="gramStart"/>
      <w:r w:rsidRPr="00297478">
        <w:rPr>
          <w:rFonts w:ascii="Arial" w:eastAsia="Times New Roman" w:hAnsi="Arial" w:cs="Arial"/>
          <w:color w:val="000000"/>
          <w:sz w:val="18"/>
          <w:szCs w:val="18"/>
          <w:lang w:val="en-US" w:eastAsia="fr-FR"/>
        </w:rPr>
        <w:t>III.2(</w:t>
      </w:r>
      <w:proofErr w:type="gramEnd"/>
      <w:r w:rsidRPr="00297478">
        <w:rPr>
          <w:rFonts w:ascii="Arial" w:eastAsia="Times New Roman" w:hAnsi="Arial" w:cs="Arial"/>
          <w:color w:val="000000"/>
          <w:sz w:val="18"/>
          <w:szCs w:val="18"/>
          <w:lang w:val="en-US" w:eastAsia="fr-FR"/>
        </w:rPr>
        <w:t xml:space="preserve">14) to Regulation No 347/2013 states that the Commission may consider not including certain projects in the Union list of PCIs if it considers that the total number of proposed PCIs exceeds a manageable number. However, no provision of Regulation No 347/2013 confers on it a power to add </w:t>
      </w:r>
      <w:proofErr w:type="gramStart"/>
      <w:r w:rsidRPr="00297478">
        <w:rPr>
          <w:rFonts w:ascii="Arial" w:eastAsia="Times New Roman" w:hAnsi="Arial" w:cs="Arial"/>
          <w:color w:val="000000"/>
          <w:sz w:val="18"/>
          <w:szCs w:val="18"/>
          <w:lang w:val="en-US" w:eastAsia="fr-FR"/>
        </w:rPr>
        <w:t>projects which</w:t>
      </w:r>
      <w:proofErr w:type="gramEnd"/>
      <w:r w:rsidRPr="00297478">
        <w:rPr>
          <w:rFonts w:ascii="Arial" w:eastAsia="Times New Roman" w:hAnsi="Arial" w:cs="Arial"/>
          <w:color w:val="000000"/>
          <w:sz w:val="18"/>
          <w:szCs w:val="18"/>
          <w:lang w:val="en-US" w:eastAsia="fr-FR"/>
        </w:rPr>
        <w:t xml:space="preserve"> were not selected by the regional groups’ decision-making bodies or, consequently, those which were not approved by the Member State on whose territory the project was to be implemented.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96</w:t>
      </w:r>
      <w:r w:rsidRPr="00297478">
        <w:rPr>
          <w:rFonts w:ascii="Arial" w:eastAsia="Times New Roman" w:hAnsi="Arial" w:cs="Arial"/>
          <w:color w:val="000000"/>
          <w:sz w:val="18"/>
          <w:szCs w:val="18"/>
          <w:lang w:val="en-US" w:eastAsia="fr-FR"/>
        </w:rPr>
        <w:t>      Lastly, as regards the reasons relied on by the Member State in support of its refusal to give its approval, the EU legislature reserved only to Member States belonging to the regional group concerned the possibility of requesting that those reasons be examined, thus excluding all the other parties comprising the regional group, namely the national regulatory authorities, the transmission system operators and the representatives of the Commission, ACER and the European Network of Transmission System Operators for Electricity.</w:t>
      </w:r>
      <w:proofErr w:type="gramEnd"/>
      <w:r w:rsidRPr="00297478">
        <w:rPr>
          <w:rFonts w:ascii="Arial" w:eastAsia="Times New Roman" w:hAnsi="Arial" w:cs="Arial"/>
          <w:color w:val="000000"/>
          <w:sz w:val="18"/>
          <w:szCs w:val="18"/>
          <w:lang w:val="en-US" w:eastAsia="fr-FR"/>
        </w:rPr>
        <w:t xml:space="preserve"> The legislature thus intended that, as a continuation of the second paragraph of Article 172 TFEU, the question of the refusal to approve a project should remain within the remit of the Member States.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97</w:t>
      </w:r>
      <w:r w:rsidRPr="00297478">
        <w:rPr>
          <w:rFonts w:ascii="Arial" w:eastAsia="Times New Roman" w:hAnsi="Arial" w:cs="Arial"/>
          <w:color w:val="000000"/>
          <w:sz w:val="18"/>
          <w:szCs w:val="18"/>
          <w:lang w:val="en-US" w:eastAsia="fr-FR"/>
        </w:rPr>
        <w:t xml:space="preserve">      Thirdly, from a factual point of view, it </w:t>
      </w:r>
      <w:proofErr w:type="gramStart"/>
      <w:r w:rsidRPr="00297478">
        <w:rPr>
          <w:rFonts w:ascii="Arial" w:eastAsia="Times New Roman" w:hAnsi="Arial" w:cs="Arial"/>
          <w:color w:val="000000"/>
          <w:sz w:val="18"/>
          <w:szCs w:val="18"/>
          <w:lang w:val="en-US" w:eastAsia="fr-FR"/>
        </w:rPr>
        <w:t>must be stated</w:t>
      </w:r>
      <w:proofErr w:type="gramEnd"/>
      <w:r w:rsidRPr="00297478">
        <w:rPr>
          <w:rFonts w:ascii="Arial" w:eastAsia="Times New Roman" w:hAnsi="Arial" w:cs="Arial"/>
          <w:color w:val="000000"/>
          <w:sz w:val="18"/>
          <w:szCs w:val="18"/>
          <w:lang w:val="en-US" w:eastAsia="fr-FR"/>
        </w:rPr>
        <w:t xml:space="preserve"> that the French Republic refused to include the proposed Aquind interconnector in the Union list of PCIs and presented the reasons for that refusal to the group concerned (see paragraph 74 above).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98</w:t>
      </w:r>
      <w:r w:rsidRPr="00297478">
        <w:rPr>
          <w:rFonts w:ascii="Arial" w:eastAsia="Times New Roman" w:hAnsi="Arial" w:cs="Arial"/>
          <w:color w:val="000000"/>
          <w:sz w:val="18"/>
          <w:szCs w:val="18"/>
          <w:lang w:val="en-US" w:eastAsia="fr-FR"/>
        </w:rPr>
        <w:t xml:space="preserve">      It is also apparent from the documents provided in the case that no other Member State in the regional group asked for the reasons put forward by the French Republic to </w:t>
      </w:r>
      <w:proofErr w:type="gramStart"/>
      <w:r w:rsidRPr="00297478">
        <w:rPr>
          <w:rFonts w:ascii="Arial" w:eastAsia="Times New Roman" w:hAnsi="Arial" w:cs="Arial"/>
          <w:color w:val="000000"/>
          <w:sz w:val="18"/>
          <w:szCs w:val="18"/>
          <w:lang w:val="en-US" w:eastAsia="fr-FR"/>
        </w:rPr>
        <w:t>be examined</w:t>
      </w:r>
      <w:proofErr w:type="gramEnd"/>
      <w:r w:rsidRPr="00297478">
        <w:rPr>
          <w:rFonts w:ascii="Arial" w:eastAsia="Times New Roman" w:hAnsi="Arial" w:cs="Arial"/>
          <w:color w:val="000000"/>
          <w:sz w:val="18"/>
          <w:szCs w:val="18"/>
          <w:lang w:val="en-US" w:eastAsia="fr-FR"/>
        </w:rPr>
        <w:t xml:space="preserve">. In that regard, the applicants wrongly rely on an email of 20 November 2019, sent by the competent United Kingdom body to the Commission, in order to assert, in essence, that that former Member State objected to the removal of the proposed Aquind interconnector and thus </w:t>
      </w:r>
      <w:r w:rsidRPr="00297478">
        <w:rPr>
          <w:rFonts w:ascii="Arial" w:eastAsia="Times New Roman" w:hAnsi="Arial" w:cs="Arial"/>
          <w:color w:val="000000"/>
          <w:sz w:val="18"/>
          <w:szCs w:val="18"/>
          <w:lang w:val="en-US" w:eastAsia="fr-FR"/>
        </w:rPr>
        <w:lastRenderedPageBreak/>
        <w:t xml:space="preserve">obliged the group to examine the reasons. </w:t>
      </w:r>
      <w:proofErr w:type="gramStart"/>
      <w:r w:rsidRPr="00297478">
        <w:rPr>
          <w:rFonts w:ascii="Arial" w:eastAsia="Times New Roman" w:hAnsi="Arial" w:cs="Arial"/>
          <w:color w:val="000000"/>
          <w:sz w:val="18"/>
          <w:szCs w:val="18"/>
          <w:lang w:val="en-US" w:eastAsia="fr-FR"/>
        </w:rPr>
        <w:t>That email contains a request that certain amendments be made to the minutes of the meeting of the high-level decision-making body of 4 October 2019, but does not contain any request, even implicit, to the regional group concerned to examine the reasons put forward by the French Republic for refusing to include the proposed Aquind interconnector in the Union list of PCIs.</w:t>
      </w:r>
      <w:proofErr w:type="gramEnd"/>
      <w:r w:rsidRPr="00297478">
        <w:rPr>
          <w:rFonts w:ascii="Arial" w:eastAsia="Times New Roman" w:hAnsi="Arial" w:cs="Arial"/>
          <w:color w:val="000000"/>
          <w:sz w:val="18"/>
          <w:szCs w:val="18"/>
          <w:lang w:val="en-US" w:eastAsia="fr-FR"/>
        </w:rPr>
        <w:t xml:space="preserve"> That email contains only a statement of position from the United Kingdom in which it indicates its views on the four proposed interconnectors between that State and France.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99</w:t>
      </w:r>
      <w:r w:rsidRPr="00297478">
        <w:rPr>
          <w:rFonts w:ascii="Arial" w:eastAsia="Times New Roman" w:hAnsi="Arial" w:cs="Arial"/>
          <w:color w:val="000000"/>
          <w:sz w:val="18"/>
          <w:szCs w:val="18"/>
          <w:lang w:val="en-US" w:eastAsia="fr-FR"/>
        </w:rPr>
        <w:t>      It follows from the foregoing that the Commission could exercise its powers only with regard to the list of projects adopted by the high-level decision-making body of the regional group concerned, that it could not request an examination of the reasons why the French Republic had refused to approve the proposed Aquind interconnector and that it could not add that project to the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100</w:t>
      </w:r>
      <w:proofErr w:type="gramEnd"/>
      <w:r w:rsidRPr="00297478">
        <w:rPr>
          <w:rFonts w:ascii="Arial" w:eastAsia="Times New Roman" w:hAnsi="Arial" w:cs="Arial"/>
          <w:color w:val="000000"/>
          <w:sz w:val="18"/>
          <w:szCs w:val="18"/>
          <w:lang w:val="en-US" w:eastAsia="fr-FR"/>
        </w:rPr>
        <w:t>    In that context, the applicants’ argument alleging infringement of their right to be heard must be rejected. It is apparent from the above findings that the Commission was required, without having any discretion, not to include the proposed Aquind interconnector in the Union list of PCIs and that it complied with the rules laid down in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101</w:t>
      </w:r>
      <w:r w:rsidRPr="00297478">
        <w:rPr>
          <w:rFonts w:ascii="Arial" w:eastAsia="Times New Roman" w:hAnsi="Arial" w:cs="Arial"/>
          <w:color w:val="000000"/>
          <w:sz w:val="18"/>
          <w:szCs w:val="18"/>
          <w:lang w:val="en-US" w:eastAsia="fr-FR"/>
        </w:rPr>
        <w:t xml:space="preserve">    It is important to point out in that regard that the applicants have not at any time claimed that the relevant provisions of Regulation No 347/2013 are unlawful, in particular point (a) of the second subparagraph of Article 3(3) of, and Annex III.2(10) to, that regulation. </w:t>
      </w:r>
      <w:proofErr w:type="gramStart"/>
      <w:r w:rsidRPr="00297478">
        <w:rPr>
          <w:rFonts w:ascii="Arial" w:eastAsia="Times New Roman" w:hAnsi="Arial" w:cs="Arial"/>
          <w:color w:val="000000"/>
          <w:sz w:val="18"/>
          <w:szCs w:val="18"/>
          <w:lang w:val="en-US" w:eastAsia="fr-FR"/>
        </w:rPr>
        <w:t>They cannot therefore claim any infringement of their right to be heard (see, to that effect and by analogy, judgment of 26 September 2014, </w:t>
      </w:r>
      <w:r w:rsidRPr="00297478">
        <w:rPr>
          <w:rFonts w:ascii="Arial" w:eastAsia="Times New Roman" w:hAnsi="Arial" w:cs="Arial"/>
          <w:i/>
          <w:iCs/>
          <w:color w:val="000000"/>
          <w:sz w:val="18"/>
          <w:szCs w:val="18"/>
          <w:lang w:val="en-US" w:eastAsia="fr-FR"/>
        </w:rPr>
        <w:t>Raffinerie Heide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631/13, not published, EU:T:2014:830, paragraphs 41 to 44, and Opinion of Advocate General Mengozzi in </w:t>
      </w:r>
      <w:r w:rsidRPr="00297478">
        <w:rPr>
          <w:rFonts w:ascii="Arial" w:eastAsia="Times New Roman" w:hAnsi="Arial" w:cs="Arial"/>
          <w:i/>
          <w:iCs/>
          <w:color w:val="000000"/>
          <w:sz w:val="18"/>
          <w:szCs w:val="18"/>
          <w:lang w:val="en-US" w:eastAsia="fr-FR"/>
        </w:rPr>
        <w:t>DK Recycling und Roheisen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Arctic Paper Mochenwangen</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w:t>
      </w:r>
      <w:r w:rsidRPr="00297478">
        <w:rPr>
          <w:rFonts w:ascii="Arial" w:eastAsia="Times New Roman" w:hAnsi="Arial" w:cs="Arial"/>
          <w:i/>
          <w:iCs/>
          <w:color w:val="000000"/>
          <w:sz w:val="18"/>
          <w:szCs w:val="18"/>
          <w:lang w:val="en-US" w:eastAsia="fr-FR"/>
        </w:rPr>
        <w:t>Raffinerie Heide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and </w:t>
      </w:r>
      <w:r w:rsidRPr="00297478">
        <w:rPr>
          <w:rFonts w:ascii="Arial" w:eastAsia="Times New Roman" w:hAnsi="Arial" w:cs="Arial"/>
          <w:i/>
          <w:iCs/>
          <w:color w:val="000000"/>
          <w:sz w:val="18"/>
          <w:szCs w:val="18"/>
          <w:lang w:val="en-US" w:eastAsia="fr-FR"/>
        </w:rPr>
        <w:t>Romonta</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540/14 P, C</w:t>
      </w:r>
      <w:r w:rsidRPr="00297478">
        <w:rPr>
          <w:rFonts w:ascii="Arial" w:eastAsia="Times New Roman" w:hAnsi="Arial" w:cs="Arial"/>
          <w:color w:val="000000"/>
          <w:sz w:val="18"/>
          <w:szCs w:val="18"/>
          <w:lang w:val="en-US" w:eastAsia="fr-FR"/>
        </w:rPr>
        <w:noBreakHyphen/>
        <w:t>551/14 P, C</w:t>
      </w:r>
      <w:r w:rsidRPr="00297478">
        <w:rPr>
          <w:rFonts w:ascii="Arial" w:eastAsia="Times New Roman" w:hAnsi="Arial" w:cs="Arial"/>
          <w:color w:val="000000"/>
          <w:sz w:val="18"/>
          <w:szCs w:val="18"/>
          <w:lang w:val="en-US" w:eastAsia="fr-FR"/>
        </w:rPr>
        <w:noBreakHyphen/>
        <w:t>564/14 P and C</w:t>
      </w:r>
      <w:r w:rsidRPr="00297478">
        <w:rPr>
          <w:rFonts w:ascii="Arial" w:eastAsia="Times New Roman" w:hAnsi="Arial" w:cs="Arial"/>
          <w:color w:val="000000"/>
          <w:sz w:val="18"/>
          <w:szCs w:val="18"/>
          <w:lang w:val="en-US" w:eastAsia="fr-FR"/>
        </w:rPr>
        <w:noBreakHyphen/>
        <w:t>565/14 P, EU:C:2016:147, points 90 and 91).</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102</w:t>
      </w:r>
      <w:r w:rsidRPr="00297478">
        <w:rPr>
          <w:rFonts w:ascii="Arial" w:eastAsia="Times New Roman" w:hAnsi="Arial" w:cs="Arial"/>
          <w:color w:val="000000"/>
          <w:sz w:val="18"/>
          <w:szCs w:val="18"/>
          <w:lang w:val="en-US" w:eastAsia="fr-FR"/>
        </w:rPr>
        <w:t>    Moreover, in order for an infringement of the right to be heard to result in the annulment of the contested regulation, it was for the applicants to establish that, had it not been for that irregularity, they could have relied on evidence capable of calling into question the Commission’s position and could therefore have had an influence, in whatever way, on the assessments made by the Commission when the proposed Aquind interconnector was not included in any Union list of PCIs (see, to that effect, judgment of 1 July 2010, </w:t>
      </w:r>
      <w:r w:rsidRPr="00297478">
        <w:rPr>
          <w:rFonts w:ascii="Arial" w:eastAsia="Times New Roman" w:hAnsi="Arial" w:cs="Arial"/>
          <w:i/>
          <w:iCs/>
          <w:color w:val="000000"/>
          <w:sz w:val="18"/>
          <w:szCs w:val="18"/>
          <w:lang w:val="en-US" w:eastAsia="fr-FR"/>
        </w:rPr>
        <w:t>Knauf Gips</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407/08 P, EU:C:2010:389, paragraph 23 and the case-law cited).</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However, there was nothing that could have influenced the Commission’s position in any way in view of the French Republic’s refusal to give its approval to the inclusion of the proposed Aquind interconnector in the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103</w:t>
      </w:r>
      <w:r w:rsidRPr="00297478">
        <w:rPr>
          <w:rFonts w:ascii="Arial" w:eastAsia="Times New Roman" w:hAnsi="Arial" w:cs="Arial"/>
          <w:color w:val="000000"/>
          <w:sz w:val="18"/>
          <w:szCs w:val="18"/>
          <w:lang w:val="en-US" w:eastAsia="fr-FR"/>
        </w:rPr>
        <w:t xml:space="preserve">    In those circumstances, the Commission </w:t>
      </w:r>
      <w:proofErr w:type="gramStart"/>
      <w:r w:rsidRPr="00297478">
        <w:rPr>
          <w:rFonts w:ascii="Arial" w:eastAsia="Times New Roman" w:hAnsi="Arial" w:cs="Arial"/>
          <w:color w:val="000000"/>
          <w:sz w:val="18"/>
          <w:szCs w:val="18"/>
          <w:lang w:val="en-US" w:eastAsia="fr-FR"/>
        </w:rPr>
        <w:t>cannot be said</w:t>
      </w:r>
      <w:proofErr w:type="gramEnd"/>
      <w:r w:rsidRPr="00297478">
        <w:rPr>
          <w:rFonts w:ascii="Arial" w:eastAsia="Times New Roman" w:hAnsi="Arial" w:cs="Arial"/>
          <w:color w:val="000000"/>
          <w:sz w:val="18"/>
          <w:szCs w:val="18"/>
          <w:lang w:val="en-US" w:eastAsia="fr-FR"/>
        </w:rPr>
        <w:t xml:space="preserve"> to have infringed the right to good administration.</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104</w:t>
      </w:r>
      <w:r w:rsidRPr="00297478">
        <w:rPr>
          <w:rFonts w:ascii="Arial" w:eastAsia="Times New Roman" w:hAnsi="Arial" w:cs="Arial"/>
          <w:color w:val="000000"/>
          <w:sz w:val="18"/>
          <w:szCs w:val="18"/>
          <w:lang w:val="en-US" w:eastAsia="fr-FR"/>
        </w:rPr>
        <w:t xml:space="preserve">    Nor </w:t>
      </w:r>
      <w:proofErr w:type="gramStart"/>
      <w:r w:rsidRPr="00297478">
        <w:rPr>
          <w:rFonts w:ascii="Arial" w:eastAsia="Times New Roman" w:hAnsi="Arial" w:cs="Arial"/>
          <w:color w:val="000000"/>
          <w:sz w:val="18"/>
          <w:szCs w:val="18"/>
          <w:lang w:val="en-US" w:eastAsia="fr-FR"/>
        </w:rPr>
        <w:t>can it be said</w:t>
      </w:r>
      <w:proofErr w:type="gramEnd"/>
      <w:r w:rsidRPr="00297478">
        <w:rPr>
          <w:rFonts w:ascii="Arial" w:eastAsia="Times New Roman" w:hAnsi="Arial" w:cs="Arial"/>
          <w:color w:val="000000"/>
          <w:sz w:val="18"/>
          <w:szCs w:val="18"/>
          <w:lang w:val="en-US" w:eastAsia="fr-FR"/>
        </w:rPr>
        <w:t xml:space="preserve"> that the Commission infringed the principle of equal treatment. </w:t>
      </w:r>
      <w:proofErr w:type="gramStart"/>
      <w:r w:rsidRPr="00297478">
        <w:rPr>
          <w:rFonts w:ascii="Arial" w:eastAsia="Times New Roman" w:hAnsi="Arial" w:cs="Arial"/>
          <w:color w:val="000000"/>
          <w:sz w:val="18"/>
          <w:szCs w:val="18"/>
          <w:lang w:val="en-US" w:eastAsia="fr-FR"/>
        </w:rPr>
        <w:t>For the purposes of the case-law cited in paragraph 79 above, it could not treat the proposed Aquind interconnector unequally in comparison with the competing projects, since that project was not included in the list of proposed PCIs drawn up by the regional group concerned, on the basis of which the Commission exercised its delegated powers; thus the proposed Aquind interconnector was not in a comparable situation to that of the competing projects on that list.</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105</w:t>
      </w:r>
      <w:r w:rsidRPr="00297478">
        <w:rPr>
          <w:rFonts w:ascii="Arial" w:eastAsia="Times New Roman" w:hAnsi="Arial" w:cs="Arial"/>
          <w:color w:val="000000"/>
          <w:sz w:val="18"/>
          <w:szCs w:val="18"/>
          <w:lang w:val="en-US" w:eastAsia="fr-FR"/>
        </w:rPr>
        <w:t>    More specifically, first, the applicants submit, unsuccessfully, that the Commission infringed the principle of equal treatment on the ground that the proposed interconnectors between France and the United Kingdom (including the proposed Aquind interconnector) met the same needs of the same customers and that the results of the Artelys study – on the basis of which the Commission allegedly refused to approve that project – did not concern the proposed Aquind interconnector in particular, but the three other competing projects.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106</w:t>
      </w:r>
      <w:r w:rsidRPr="00297478">
        <w:rPr>
          <w:rFonts w:ascii="Arial" w:eastAsia="Times New Roman" w:hAnsi="Arial" w:cs="Arial"/>
          <w:color w:val="000000"/>
          <w:sz w:val="18"/>
          <w:szCs w:val="18"/>
          <w:lang w:val="en-US" w:eastAsia="fr-FR"/>
        </w:rPr>
        <w:t xml:space="preserve">    It must be borne in mind that the Commission could only take note of the French Republic’s refusal to give its approval to the inclusion of the proposed Aquind interconnector in the Union list of PCIs. </w:t>
      </w:r>
      <w:proofErr w:type="gramStart"/>
      <w:r w:rsidRPr="00297478">
        <w:rPr>
          <w:rFonts w:ascii="Arial" w:eastAsia="Times New Roman" w:hAnsi="Arial" w:cs="Arial"/>
          <w:color w:val="000000"/>
          <w:sz w:val="18"/>
          <w:szCs w:val="18"/>
          <w:lang w:val="en-US" w:eastAsia="fr-FR"/>
        </w:rPr>
        <w:t>In addition, it is apparent from the examination of the first plea alleging infringement of the obligation to state reasons that the results of the Artelys study do not constitute a reason why the proposed Aquind interconnector was not included in the list of proposals drawn up by the decision-making group concerned, nor do they constitute the reason why the Commission did not include that project in the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6699"/>
          <w:sz w:val="18"/>
          <w:szCs w:val="18"/>
          <w:lang w:val="en-US" w:eastAsia="fr-FR"/>
        </w:rPr>
        <w:t>107</w:t>
      </w:r>
      <w:r w:rsidRPr="00297478">
        <w:rPr>
          <w:rFonts w:ascii="Arial" w:eastAsia="Times New Roman" w:hAnsi="Arial" w:cs="Arial"/>
          <w:color w:val="000000"/>
          <w:sz w:val="18"/>
          <w:szCs w:val="18"/>
          <w:lang w:val="en-US" w:eastAsia="fr-FR"/>
        </w:rPr>
        <w:t>    Secondly, the applicants unsuccessfully base their fifth plea, alleging infringement of the principle of equal treatment, on the fact that the proposed Aquind interconnector received a better score than two competing projects in the ranking of proposed PCIs carried out in accordance with the evaluation method and that, in spite of that, it was not included in the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108</w:t>
      </w:r>
      <w:r w:rsidRPr="00297478">
        <w:rPr>
          <w:rFonts w:ascii="Arial" w:eastAsia="Times New Roman" w:hAnsi="Arial" w:cs="Arial"/>
          <w:color w:val="000000"/>
          <w:sz w:val="18"/>
          <w:szCs w:val="18"/>
          <w:lang w:val="en-US" w:eastAsia="fr-FR"/>
        </w:rPr>
        <w:t xml:space="preserve">    Apart from the fact that the proposed Aquind interconnector did not appear on the regional list adopted by the decision-making group and the fact that the Commission could not therefore take it into account, the ranking relied on by the applicants is in any event wholly irrelevant. </w:t>
      </w:r>
      <w:proofErr w:type="gramStart"/>
      <w:r w:rsidRPr="00297478">
        <w:rPr>
          <w:rFonts w:ascii="Arial" w:eastAsia="Times New Roman" w:hAnsi="Arial" w:cs="Arial"/>
          <w:color w:val="000000"/>
          <w:sz w:val="18"/>
          <w:szCs w:val="18"/>
          <w:lang w:val="en-US" w:eastAsia="fr-FR"/>
        </w:rPr>
        <w:t xml:space="preserve">Regulation No 347/2013 states unequivocally in Article 4(4) </w:t>
      </w:r>
      <w:r w:rsidRPr="00297478">
        <w:rPr>
          <w:rFonts w:ascii="Arial" w:eastAsia="Times New Roman" w:hAnsi="Arial" w:cs="Arial"/>
          <w:color w:val="000000"/>
          <w:sz w:val="18"/>
          <w:szCs w:val="18"/>
          <w:lang w:val="en-US" w:eastAsia="fr-FR"/>
        </w:rPr>
        <w:lastRenderedPageBreak/>
        <w:t>and in Annex III.2(14) that the ranking of projects is intended only for internal use by the group, that neither the regional list nor the Union list of PCIs contains any ranking and that it cannot be used for any other subsequent purpose, except when the Commission exercises the power referred to in paragraph 95 above to verify whether the total number of projects is manageable.</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109</w:t>
      </w:r>
      <w:r w:rsidRPr="00297478">
        <w:rPr>
          <w:rFonts w:ascii="Arial" w:eastAsia="Times New Roman" w:hAnsi="Arial" w:cs="Arial"/>
          <w:color w:val="000000"/>
          <w:sz w:val="18"/>
          <w:szCs w:val="18"/>
          <w:lang w:val="en-US" w:eastAsia="fr-FR"/>
        </w:rPr>
        <w:t>    In that context, it is necessary to examine the applicants’ argument based on the judgment of 11 March 2020, </w:t>
      </w:r>
      <w:r w:rsidRPr="00297478">
        <w:rPr>
          <w:rFonts w:ascii="Arial" w:eastAsia="Times New Roman" w:hAnsi="Arial" w:cs="Arial"/>
          <w:i/>
          <w:iCs/>
          <w:color w:val="000000"/>
          <w:sz w:val="18"/>
          <w:szCs w:val="18"/>
          <w:lang w:val="en-US" w:eastAsia="fr-FR"/>
        </w:rPr>
        <w:t>Baltic Cable</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454/18, EU</w:t>
      </w:r>
      <w:proofErr w:type="gramStart"/>
      <w:r w:rsidRPr="00297478">
        <w:rPr>
          <w:rFonts w:ascii="Arial" w:eastAsia="Times New Roman" w:hAnsi="Arial" w:cs="Arial"/>
          <w:color w:val="000000"/>
          <w:sz w:val="18"/>
          <w:szCs w:val="18"/>
          <w:lang w:val="en-US" w:eastAsia="fr-FR"/>
        </w:rPr>
        <w:t>:C:2020:189</w:t>
      </w:r>
      <w:proofErr w:type="gramEnd"/>
      <w:r w:rsidRPr="00297478">
        <w:rPr>
          <w:rFonts w:ascii="Arial" w:eastAsia="Times New Roman" w:hAnsi="Arial" w:cs="Arial"/>
          <w:color w:val="000000"/>
          <w:sz w:val="18"/>
          <w:szCs w:val="18"/>
          <w:lang w:val="en-US" w:eastAsia="fr-FR"/>
        </w:rPr>
        <w:t xml:space="preserve">). They state that the Court of Justice held in that judgment that the powers conferred on national regulatory authorities had to be interpreted and applied in a manner which respects the general principles of EU law even where the regulation does not give the authority concerned the express power to take the necessary measures to avoid any discrimination. </w:t>
      </w:r>
      <w:proofErr w:type="gramStart"/>
      <w:r w:rsidRPr="00297478">
        <w:rPr>
          <w:rFonts w:ascii="Arial" w:eastAsia="Times New Roman" w:hAnsi="Arial" w:cs="Arial"/>
          <w:color w:val="000000"/>
          <w:sz w:val="18"/>
          <w:szCs w:val="18"/>
          <w:lang w:val="en-US" w:eastAsia="fr-FR"/>
        </w:rPr>
        <w:t>They submit, in essence, that, in the same way, the powers conferred on the Commission to adopt the Union lists of PCIs must be interpreted and applied in a manner which respects the general principles of EU law, in the present case the principle of equal treatment, even though Regulation No 347/2013 does not give it the express power to take the necessary measures in that regard.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110</w:t>
      </w:r>
      <w:r w:rsidRPr="00297478">
        <w:rPr>
          <w:rFonts w:ascii="Arial" w:eastAsia="Times New Roman" w:hAnsi="Arial" w:cs="Arial"/>
          <w:color w:val="000000"/>
          <w:sz w:val="18"/>
          <w:szCs w:val="18"/>
          <w:lang w:val="en-US" w:eastAsia="fr-FR"/>
        </w:rPr>
        <w:t>    However, that argument cannot succeed. First, the applicants start from the incorrect premiss that the situation of the national regulatory authorities concerned by the judgment of 11 March 2020, </w:t>
      </w:r>
      <w:r w:rsidRPr="00297478">
        <w:rPr>
          <w:rFonts w:ascii="Arial" w:eastAsia="Times New Roman" w:hAnsi="Arial" w:cs="Arial"/>
          <w:i/>
          <w:iCs/>
          <w:color w:val="000000"/>
          <w:sz w:val="18"/>
          <w:szCs w:val="18"/>
          <w:lang w:val="en-US" w:eastAsia="fr-FR"/>
        </w:rPr>
        <w:t>Baltic Cable</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454/18, EU</w:t>
      </w:r>
      <w:proofErr w:type="gramStart"/>
      <w:r w:rsidRPr="00297478">
        <w:rPr>
          <w:rFonts w:ascii="Arial" w:eastAsia="Times New Roman" w:hAnsi="Arial" w:cs="Arial"/>
          <w:color w:val="000000"/>
          <w:sz w:val="18"/>
          <w:szCs w:val="18"/>
          <w:lang w:val="en-US" w:eastAsia="fr-FR"/>
        </w:rPr>
        <w:t>:C:2020:189</w:t>
      </w:r>
      <w:proofErr w:type="gramEnd"/>
      <w:r w:rsidRPr="00297478">
        <w:rPr>
          <w:rFonts w:ascii="Arial" w:eastAsia="Times New Roman" w:hAnsi="Arial" w:cs="Arial"/>
          <w:color w:val="000000"/>
          <w:sz w:val="18"/>
          <w:szCs w:val="18"/>
          <w:lang w:val="en-US" w:eastAsia="fr-FR"/>
        </w:rPr>
        <w:t xml:space="preserve">), is the same as the Commission’s in the present case. </w:t>
      </w:r>
      <w:proofErr w:type="gramStart"/>
      <w:r w:rsidRPr="00297478">
        <w:rPr>
          <w:rFonts w:ascii="Arial" w:eastAsia="Times New Roman" w:hAnsi="Arial" w:cs="Arial"/>
          <w:color w:val="000000"/>
          <w:sz w:val="18"/>
          <w:szCs w:val="18"/>
          <w:lang w:val="en-US" w:eastAsia="fr-FR"/>
        </w:rPr>
        <w:t>There is a fundamental difference between the two situations at issue relating to the fact that, under Article 16(6) of Regulation (EC) No 714/2009 of the European Parliament and of the Council of 13 July 2009 on conditions for access to the network for cross-border exchanges in electricity and repealing Regulation (EC) No 1228/2003 (OJ 2009 L 211, p. 15), the national regulatory authority was vested with the power to take a decision on the use of the revenues of the transmission system operator concerned.</w:t>
      </w:r>
      <w:proofErr w:type="gramEnd"/>
      <w:r w:rsidRPr="00297478">
        <w:rPr>
          <w:rFonts w:ascii="Arial" w:eastAsia="Times New Roman" w:hAnsi="Arial" w:cs="Arial"/>
          <w:color w:val="000000"/>
          <w:sz w:val="18"/>
          <w:szCs w:val="18"/>
          <w:lang w:val="en-US" w:eastAsia="fr-FR"/>
        </w:rPr>
        <w:t xml:space="preserve"> </w:t>
      </w:r>
      <w:proofErr w:type="gramStart"/>
      <w:r w:rsidRPr="00297478">
        <w:rPr>
          <w:rFonts w:ascii="Arial" w:eastAsia="Times New Roman" w:hAnsi="Arial" w:cs="Arial"/>
          <w:color w:val="000000"/>
          <w:sz w:val="18"/>
          <w:szCs w:val="18"/>
          <w:lang w:val="en-US" w:eastAsia="fr-FR"/>
        </w:rPr>
        <w:t>In the present case, the Commission did not have the power to include the proposed Aquind interconnector in the Union list of PCIs, since the French Republic exercised its right not to approve that project in accordance with the second paragraph of Article 172 TFEU and point (a) of the second subparagraph of Article 3(3) of Regulation No 347/2013.</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111</w:t>
      </w:r>
      <w:r w:rsidRPr="00297478">
        <w:rPr>
          <w:rFonts w:ascii="Arial" w:eastAsia="Times New Roman" w:hAnsi="Arial" w:cs="Arial"/>
          <w:color w:val="000000"/>
          <w:sz w:val="18"/>
          <w:szCs w:val="18"/>
          <w:lang w:val="en-US" w:eastAsia="fr-FR"/>
        </w:rPr>
        <w:t>    Secondly, it must be pointed out that, if the Commission had, on the basis of the principle of equal treatment, taken the initiative of including the proposed Aquind interconnector in the Union list of PCIs, its action would have infringed EU legislation and, in particular, the FEU Treaty itself.</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112</w:t>
      </w:r>
      <w:r w:rsidRPr="00297478">
        <w:rPr>
          <w:rFonts w:ascii="Arial" w:eastAsia="Times New Roman" w:hAnsi="Arial" w:cs="Arial"/>
          <w:color w:val="000000"/>
          <w:sz w:val="18"/>
          <w:szCs w:val="18"/>
          <w:lang w:val="en-US" w:eastAsia="fr-FR"/>
        </w:rPr>
        <w:t xml:space="preserve">    In the light of all the foregoing, the fourth and fifth pleas in law, alleging, respectively, infringement of the right to good administration and infringement of the principle of equal treatment,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sixth plea in law, alleging infringement of the principle of proportionality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113</w:t>
      </w:r>
      <w:r w:rsidRPr="00297478">
        <w:rPr>
          <w:rFonts w:ascii="Arial" w:eastAsia="Times New Roman" w:hAnsi="Arial" w:cs="Arial"/>
          <w:color w:val="000000"/>
          <w:sz w:val="18"/>
          <w:szCs w:val="18"/>
          <w:lang w:val="en-US" w:eastAsia="fr-FR"/>
        </w:rPr>
        <w:t xml:space="preserve">    By the sixth plea, alleging infringement of the principle of proportionality, first of all, the applicants submit that the appropriateness and necessity of removing the proposed Aquind interconnector from the Union list of PCIs should have been evaluated more strictly and by taking due account of the nature of that project and the consequences of that removal. Next, they submit that, in the absence of information on the reasons for the removal of the project from the list, it is not possible to evaluate the proportionality of the contested regulation. In addition, they criticise the Commission’s understanding of the procedural guarantees and its respect for the fundamental principles for not going far enough in its interpretation of Regulation No 347/2013 in order to achieve the objectives of that regulation. </w:t>
      </w:r>
      <w:proofErr w:type="gramStart"/>
      <w:r w:rsidRPr="00297478">
        <w:rPr>
          <w:rFonts w:ascii="Arial" w:eastAsia="Times New Roman" w:hAnsi="Arial" w:cs="Arial"/>
          <w:color w:val="000000"/>
          <w:sz w:val="18"/>
          <w:szCs w:val="18"/>
          <w:lang w:val="en-US" w:eastAsia="fr-FR"/>
        </w:rPr>
        <w:t>Lastly, they submit that the purpose of Regulation No 347/2013 is to facilitate the implementation of proposed PCIs and that the Commission’s interpretation of that regulation is incompatible with the principle of proportionality, in that a period of two years is insufficient to allow a project to benefit from the investment and cross-border cost allocation procedure provided for in Article 12 of that regulation.</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6699"/>
          <w:sz w:val="18"/>
          <w:szCs w:val="18"/>
          <w:lang w:val="en-US" w:eastAsia="fr-FR"/>
        </w:rPr>
        <w:t>114</w:t>
      </w:r>
      <w:r w:rsidRPr="00297478">
        <w:rPr>
          <w:rFonts w:ascii="Arial" w:eastAsia="Times New Roman" w:hAnsi="Arial" w:cs="Arial"/>
          <w:color w:val="000000"/>
          <w:sz w:val="18"/>
          <w:szCs w:val="18"/>
          <w:lang w:val="en-US" w:eastAsia="fr-FR"/>
        </w:rPr>
        <w:t>    The Commission, supported by the Kingdom of Spain and the French Republic, disputes that plea.</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5" w:name="point115"/>
      <w:r w:rsidRPr="00297478">
        <w:rPr>
          <w:rFonts w:ascii="Arial" w:eastAsia="Times New Roman" w:hAnsi="Arial" w:cs="Arial"/>
          <w:color w:val="006699"/>
          <w:sz w:val="18"/>
          <w:szCs w:val="18"/>
          <w:lang w:val="en-US" w:eastAsia="fr-FR"/>
        </w:rPr>
        <w:t>115</w:t>
      </w:r>
      <w:bookmarkEnd w:id="115"/>
      <w:r w:rsidRPr="00297478">
        <w:rPr>
          <w:rFonts w:ascii="Arial" w:eastAsia="Times New Roman" w:hAnsi="Arial" w:cs="Arial"/>
          <w:color w:val="000000"/>
          <w:sz w:val="18"/>
          <w:szCs w:val="18"/>
          <w:lang w:val="en-US" w:eastAsia="fr-FR"/>
        </w:rPr>
        <w:t xml:space="preserve">    According to settled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the principle of proportionality is among the general principles of EU law. </w:t>
      </w:r>
      <w:proofErr w:type="gramStart"/>
      <w:r w:rsidRPr="00297478">
        <w:rPr>
          <w:rFonts w:ascii="Arial" w:eastAsia="Times New Roman" w:hAnsi="Arial" w:cs="Arial"/>
          <w:color w:val="000000"/>
          <w:sz w:val="18"/>
          <w:szCs w:val="18"/>
          <w:lang w:val="en-US" w:eastAsia="fr-FR"/>
        </w:rPr>
        <w:t>By virtue of that principle, acts of the institutions of the European Union must not exceed the limits of what is appropriate and necessary in order to attain the objectives legitimately pursued by the measure in question; where there is a choice between several appropriate measures, recourse must be had to the least onerous, and the disadvantages caused must not be disproportionate to the aims pursued (judgments of 13 November 1990, </w:t>
      </w:r>
      <w:r w:rsidRPr="00297478">
        <w:rPr>
          <w:rFonts w:ascii="Arial" w:eastAsia="Times New Roman" w:hAnsi="Arial" w:cs="Arial"/>
          <w:i/>
          <w:iCs/>
          <w:color w:val="000000"/>
          <w:sz w:val="18"/>
          <w:szCs w:val="18"/>
          <w:lang w:val="en-US" w:eastAsia="fr-FR"/>
        </w:rPr>
        <w:t>Fedesa and Others</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331/88, EU:C:1990:391, paragraph 13; of 5 May 1998, </w:t>
      </w:r>
      <w:r w:rsidRPr="00297478">
        <w:rPr>
          <w:rFonts w:ascii="Arial" w:eastAsia="Times New Roman" w:hAnsi="Arial" w:cs="Arial"/>
          <w:i/>
          <w:iCs/>
          <w:color w:val="000000"/>
          <w:sz w:val="18"/>
          <w:szCs w:val="18"/>
          <w:lang w:val="en-US" w:eastAsia="fr-FR"/>
        </w:rPr>
        <w:t>United Kingdom</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180/96, EU:C:1998:192, paragraph 96; and of 23 September 2020, </w:t>
      </w:r>
      <w:r w:rsidRPr="00297478">
        <w:rPr>
          <w:rFonts w:ascii="Arial" w:eastAsia="Times New Roman" w:hAnsi="Arial" w:cs="Arial"/>
          <w:i/>
          <w:iCs/>
          <w:color w:val="000000"/>
          <w:sz w:val="18"/>
          <w:szCs w:val="18"/>
          <w:lang w:val="en-US" w:eastAsia="fr-FR"/>
        </w:rPr>
        <w:t>BASF</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472/19, not published, EU:T:2020:432, paragraph 108).</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6" w:name="point116"/>
      <w:proofErr w:type="gramStart"/>
      <w:r w:rsidRPr="00297478">
        <w:rPr>
          <w:rFonts w:ascii="Arial" w:eastAsia="Times New Roman" w:hAnsi="Arial" w:cs="Arial"/>
          <w:color w:val="006699"/>
          <w:sz w:val="18"/>
          <w:szCs w:val="18"/>
          <w:lang w:val="en-US" w:eastAsia="fr-FR"/>
        </w:rPr>
        <w:t>116</w:t>
      </w:r>
      <w:bookmarkEnd w:id="116"/>
      <w:r w:rsidRPr="00297478">
        <w:rPr>
          <w:rFonts w:ascii="Arial" w:eastAsia="Times New Roman" w:hAnsi="Arial" w:cs="Arial"/>
          <w:color w:val="000000"/>
          <w:sz w:val="18"/>
          <w:szCs w:val="18"/>
          <w:lang w:val="en-US" w:eastAsia="fr-FR"/>
        </w:rPr>
        <w:t>    Furthermore, the assessment of the proportionality of a measure must be reconciled with compliance with the discretion that may have been conferred on the EU institutions at the time it was adopted (judgments of 12 December 2006, </w:t>
      </w:r>
      <w:r w:rsidRPr="00297478">
        <w:rPr>
          <w:rFonts w:ascii="Arial" w:eastAsia="Times New Roman" w:hAnsi="Arial" w:cs="Arial"/>
          <w:i/>
          <w:iCs/>
          <w:color w:val="000000"/>
          <w:sz w:val="18"/>
          <w:szCs w:val="18"/>
          <w:lang w:val="en-US" w:eastAsia="fr-FR"/>
        </w:rPr>
        <w:t>Germany</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Parliament and Council</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380/03, EU:C:2006:772, paragraph 145, and of 16 May 2017, </w:t>
      </w:r>
      <w:r w:rsidRPr="00297478">
        <w:rPr>
          <w:rFonts w:ascii="Arial" w:eastAsia="Times New Roman" w:hAnsi="Arial" w:cs="Arial"/>
          <w:i/>
          <w:iCs/>
          <w:color w:val="000000"/>
          <w:sz w:val="18"/>
          <w:szCs w:val="18"/>
          <w:lang w:val="en-US" w:eastAsia="fr-FR"/>
        </w:rPr>
        <w:t>Landeskreditbank Baden-Württemberg</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ECB</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122/15, EU:T:2017:337, paragraph 68).</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7" w:name="point117"/>
      <w:r w:rsidRPr="00297478">
        <w:rPr>
          <w:rFonts w:ascii="Arial" w:eastAsia="Times New Roman" w:hAnsi="Arial" w:cs="Arial"/>
          <w:color w:val="006699"/>
          <w:sz w:val="18"/>
          <w:szCs w:val="18"/>
          <w:lang w:val="en-US" w:eastAsia="fr-FR"/>
        </w:rPr>
        <w:t>117</w:t>
      </w:r>
      <w:bookmarkEnd w:id="117"/>
      <w:r w:rsidRPr="00297478">
        <w:rPr>
          <w:rFonts w:ascii="Arial" w:eastAsia="Times New Roman" w:hAnsi="Arial" w:cs="Arial"/>
          <w:color w:val="000000"/>
          <w:sz w:val="18"/>
          <w:szCs w:val="18"/>
          <w:lang w:val="en-US" w:eastAsia="fr-FR"/>
        </w:rPr>
        <w:t xml:space="preserve">    It is in the light of that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that the Court will examine the sixth plea in law.</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8" w:name="point118"/>
      <w:proofErr w:type="gramStart"/>
      <w:r w:rsidRPr="00297478">
        <w:rPr>
          <w:rFonts w:ascii="Arial" w:eastAsia="Times New Roman" w:hAnsi="Arial" w:cs="Arial"/>
          <w:color w:val="006699"/>
          <w:sz w:val="18"/>
          <w:szCs w:val="18"/>
          <w:lang w:val="en-US" w:eastAsia="fr-FR"/>
        </w:rPr>
        <w:lastRenderedPageBreak/>
        <w:t>118</w:t>
      </w:r>
      <w:bookmarkEnd w:id="118"/>
      <w:r w:rsidRPr="00297478">
        <w:rPr>
          <w:rFonts w:ascii="Arial" w:eastAsia="Times New Roman" w:hAnsi="Arial" w:cs="Arial"/>
          <w:color w:val="000000"/>
          <w:sz w:val="18"/>
          <w:szCs w:val="18"/>
          <w:lang w:val="en-US" w:eastAsia="fr-FR"/>
        </w:rPr>
        <w:t>    First of all, account must be taken of the fact that the Commission had no discretion as regards the non-inclusion of the project at issue following the refusal by the French Republic to give its approval to the inclusion of the proposed Aquind interconnector in the Union list of PCIs, and that it could therefore only take note of that refusal.</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19" w:name="point119"/>
      <w:proofErr w:type="gramStart"/>
      <w:r w:rsidRPr="00297478">
        <w:rPr>
          <w:rFonts w:ascii="Arial" w:eastAsia="Times New Roman" w:hAnsi="Arial" w:cs="Arial"/>
          <w:color w:val="006699"/>
          <w:sz w:val="18"/>
          <w:szCs w:val="18"/>
          <w:lang w:val="en-US" w:eastAsia="fr-FR"/>
        </w:rPr>
        <w:t>119</w:t>
      </w:r>
      <w:bookmarkEnd w:id="119"/>
      <w:r w:rsidRPr="00297478">
        <w:rPr>
          <w:rFonts w:ascii="Arial" w:eastAsia="Times New Roman" w:hAnsi="Arial" w:cs="Arial"/>
          <w:color w:val="000000"/>
          <w:sz w:val="18"/>
          <w:szCs w:val="18"/>
          <w:lang w:val="en-US" w:eastAsia="fr-FR"/>
        </w:rPr>
        <w:t>    Next, it should be borne in mind that, according to recital 43 of Regulation No 347/2013, ‘since the objective of this Regulation, namely the development and interoperability of trans-European energy networks and connection to such networks, cannot be sufficiently achieved by the Member States and can therefore be better achieved at Union level, the Union may adopt measures, in accordance with the principle of subsidiarity as set out in Article 5 [TEU].</w:t>
      </w:r>
      <w:proofErr w:type="gramEnd"/>
      <w:r w:rsidRPr="00297478">
        <w:rPr>
          <w:rFonts w:ascii="Arial" w:eastAsia="Times New Roman" w:hAnsi="Arial" w:cs="Arial"/>
          <w:color w:val="000000"/>
          <w:sz w:val="18"/>
          <w:szCs w:val="18"/>
          <w:lang w:val="en-US" w:eastAsia="fr-FR"/>
        </w:rPr>
        <w:t xml:space="preserve"> In accordance with the principle of proportionality, as set out in that Article, this Regulation does not go beyond what is necessary in order to achieve that objective’.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0" w:name="point120"/>
      <w:r w:rsidRPr="00297478">
        <w:rPr>
          <w:rFonts w:ascii="Arial" w:eastAsia="Times New Roman" w:hAnsi="Arial" w:cs="Arial"/>
          <w:color w:val="006699"/>
          <w:sz w:val="18"/>
          <w:szCs w:val="18"/>
          <w:lang w:val="en-US" w:eastAsia="fr-FR"/>
        </w:rPr>
        <w:t>120</w:t>
      </w:r>
      <w:bookmarkEnd w:id="120"/>
      <w:r w:rsidRPr="00297478">
        <w:rPr>
          <w:rFonts w:ascii="Arial" w:eastAsia="Times New Roman" w:hAnsi="Arial" w:cs="Arial"/>
          <w:color w:val="000000"/>
          <w:sz w:val="18"/>
          <w:szCs w:val="18"/>
          <w:lang w:val="en-US" w:eastAsia="fr-FR"/>
        </w:rPr>
        <w:t>    Regulation No 347/2013 does not provide that the project promoters are to receive explanations from the regional groups, or that they may make representations prior to the adoption of the regional lists by those groups, and subsequently prior to the adoption of the delegated acts by which the Commission definitively establishes the Union list of PCIs. The applicants have not put forward any plea of illegality in respect of the provisions of that regulation relating to the procedure for adopting the Union list of PCIs. Accordingly, the applicants cannot rely on those arguments to claim that it was not possible for them to assess whether the removal of the proposed Aquind interconnector from the Union list of PCIs was proportionate. Nor, in that context, can they criticise the Commission, in essence, for not giving them a prior explanation or for not ensuring respect for the principle of proportionality during the procedure for drawing up the list. First, the Commission complied with the provisions of Regulation No 347/2013 when it adopted the contested regulation. Secondly, the possibility of calling into question the reasons put forward by a Member State for refusing to approve a project is reserved solely to representatives of the other Member States of the regional group concerned and the Commission could not therefore interfere in that respect.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1" w:name="point121"/>
      <w:r w:rsidRPr="00297478">
        <w:rPr>
          <w:rFonts w:ascii="Arial" w:eastAsia="Times New Roman" w:hAnsi="Arial" w:cs="Arial"/>
          <w:color w:val="006699"/>
          <w:sz w:val="18"/>
          <w:szCs w:val="18"/>
          <w:lang w:val="en-US" w:eastAsia="fr-FR"/>
        </w:rPr>
        <w:t>121</w:t>
      </w:r>
      <w:bookmarkEnd w:id="121"/>
      <w:r w:rsidRPr="00297478">
        <w:rPr>
          <w:rFonts w:ascii="Arial" w:eastAsia="Times New Roman" w:hAnsi="Arial" w:cs="Arial"/>
          <w:color w:val="000000"/>
          <w:sz w:val="18"/>
          <w:szCs w:val="18"/>
          <w:lang w:val="en-US" w:eastAsia="fr-FR"/>
        </w:rPr>
        <w:t xml:space="preserve">    In addition, the applicants are wrong to criticise the Commission for not evaluating the appropriateness and necessity of removing the proposed Aquind interconnector from the Union list of PCIs more strictly and by taking into account the nature of that project. </w:t>
      </w:r>
      <w:proofErr w:type="gramStart"/>
      <w:r w:rsidRPr="00297478">
        <w:rPr>
          <w:rFonts w:ascii="Arial" w:eastAsia="Times New Roman" w:hAnsi="Arial" w:cs="Arial"/>
          <w:color w:val="000000"/>
          <w:sz w:val="18"/>
          <w:szCs w:val="18"/>
          <w:lang w:val="en-US" w:eastAsia="fr-FR"/>
        </w:rPr>
        <w:t>The examination of the previous pleas, in particular the analysis carried out in paragraphs 87 to 96 above, highlighted the fact that it was impossible for the Commission to overrule the refusal issued by the French Republic and the fact that it was impossible for the Commission to include the proposed Aquind interconnector in the Union list of PCIs, which did not appear on the regional list adopted by the regional group concerned.</w:t>
      </w:r>
      <w:proofErr w:type="gramEnd"/>
      <w:r w:rsidRPr="00297478">
        <w:rPr>
          <w:rFonts w:ascii="Arial" w:eastAsia="Times New Roman" w:hAnsi="Arial" w:cs="Arial"/>
          <w:color w:val="000000"/>
          <w:sz w:val="18"/>
          <w:szCs w:val="18"/>
          <w:lang w:val="en-US" w:eastAsia="fr-FR"/>
        </w:rPr>
        <w:t xml:space="preserve"> In the light of the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referred to in paragraph 116 above, account must be taken of the fact that the Commission did not have any discretion as regards the inclusion of the proposed Aquind interconnector in the Union list of PCIs. In those circumstances, it </w:t>
      </w:r>
      <w:proofErr w:type="gramStart"/>
      <w:r w:rsidRPr="00297478">
        <w:rPr>
          <w:rFonts w:ascii="Arial" w:eastAsia="Times New Roman" w:hAnsi="Arial" w:cs="Arial"/>
          <w:color w:val="000000"/>
          <w:sz w:val="18"/>
          <w:szCs w:val="18"/>
          <w:lang w:val="en-US" w:eastAsia="fr-FR"/>
        </w:rPr>
        <w:t>cannot be said</w:t>
      </w:r>
      <w:proofErr w:type="gramEnd"/>
      <w:r w:rsidRPr="00297478">
        <w:rPr>
          <w:rFonts w:ascii="Arial" w:eastAsia="Times New Roman" w:hAnsi="Arial" w:cs="Arial"/>
          <w:color w:val="000000"/>
          <w:sz w:val="18"/>
          <w:szCs w:val="18"/>
          <w:lang w:val="en-US" w:eastAsia="fr-FR"/>
        </w:rPr>
        <w:t xml:space="preserve"> that the Commission infringed the principle of proportionality by not including that project in the Union list of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2" w:name="point122"/>
      <w:proofErr w:type="gramStart"/>
      <w:r w:rsidRPr="00297478">
        <w:rPr>
          <w:rFonts w:ascii="Arial" w:eastAsia="Times New Roman" w:hAnsi="Arial" w:cs="Arial"/>
          <w:color w:val="006699"/>
          <w:sz w:val="18"/>
          <w:szCs w:val="18"/>
          <w:lang w:val="en-US" w:eastAsia="fr-FR"/>
        </w:rPr>
        <w:t>122</w:t>
      </w:r>
      <w:bookmarkEnd w:id="122"/>
      <w:r w:rsidRPr="00297478">
        <w:rPr>
          <w:rFonts w:ascii="Arial" w:eastAsia="Times New Roman" w:hAnsi="Arial" w:cs="Arial"/>
          <w:color w:val="000000"/>
          <w:sz w:val="18"/>
          <w:szCs w:val="18"/>
          <w:lang w:val="en-US" w:eastAsia="fr-FR"/>
        </w:rPr>
        <w:t>    Lastly, the applicants assert, in essence, that the Commission’s interpretation in the contested regulation of Regulation No 347/2013 is contrary to the objective pursued by that regulation – namely that of facilitating the implementation of the projects – in that it is clear that a period of two years is insufficient to enable a project to benefit from the investment and cross-border cost allocation procedure provided for in Article 12 of that regulation.</w:t>
      </w:r>
      <w:proofErr w:type="gramEnd"/>
      <w:r w:rsidRPr="00297478">
        <w:rPr>
          <w:rFonts w:ascii="Arial" w:eastAsia="Times New Roman" w:hAnsi="Arial" w:cs="Arial"/>
          <w:color w:val="000000"/>
          <w:sz w:val="18"/>
          <w:szCs w:val="18"/>
          <w:lang w:val="en-US" w:eastAsia="fr-FR"/>
        </w:rPr>
        <w:t xml:space="preserve"> That argument cannot succeed. As the Commission rightly points out, the development of infrastructure projects is not dependent on whether or not they are Union PCIs.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3" w:name="point123"/>
      <w:r w:rsidRPr="00297478">
        <w:rPr>
          <w:rFonts w:ascii="Arial" w:eastAsia="Times New Roman" w:hAnsi="Arial" w:cs="Arial"/>
          <w:color w:val="006699"/>
          <w:sz w:val="18"/>
          <w:szCs w:val="18"/>
          <w:lang w:val="en-US" w:eastAsia="fr-FR"/>
        </w:rPr>
        <w:t>123</w:t>
      </w:r>
      <w:bookmarkEnd w:id="123"/>
      <w:r w:rsidRPr="00297478">
        <w:rPr>
          <w:rFonts w:ascii="Arial" w:eastAsia="Times New Roman" w:hAnsi="Arial" w:cs="Arial"/>
          <w:color w:val="000000"/>
          <w:sz w:val="18"/>
          <w:szCs w:val="18"/>
          <w:lang w:val="en-US" w:eastAsia="fr-FR"/>
        </w:rPr>
        <w:t xml:space="preserve">    It follows from all of the foregoing that the sixth plea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seventh plea in law, alleging infringement of the principles of legal certainty and the protection of legitimate expectations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4" w:name="point124"/>
      <w:r w:rsidRPr="00297478">
        <w:rPr>
          <w:rFonts w:ascii="Arial" w:eastAsia="Times New Roman" w:hAnsi="Arial" w:cs="Arial"/>
          <w:color w:val="006699"/>
          <w:sz w:val="18"/>
          <w:szCs w:val="18"/>
          <w:lang w:val="en-US" w:eastAsia="fr-FR"/>
        </w:rPr>
        <w:t>124</w:t>
      </w:r>
      <w:bookmarkEnd w:id="124"/>
      <w:r w:rsidRPr="00297478">
        <w:rPr>
          <w:rFonts w:ascii="Arial" w:eastAsia="Times New Roman" w:hAnsi="Arial" w:cs="Arial"/>
          <w:color w:val="000000"/>
          <w:sz w:val="18"/>
          <w:szCs w:val="18"/>
          <w:lang w:val="en-US" w:eastAsia="fr-FR"/>
        </w:rPr>
        <w:t xml:space="preserve">    By the seventh plea, alleging infringement of the principles of legal certainty and the protection of legitimate expectations, the applicants submit, </w:t>
      </w:r>
      <w:proofErr w:type="gramStart"/>
      <w:r w:rsidRPr="00297478">
        <w:rPr>
          <w:rFonts w:ascii="Arial" w:eastAsia="Times New Roman" w:hAnsi="Arial" w:cs="Arial"/>
          <w:color w:val="000000"/>
          <w:sz w:val="18"/>
          <w:szCs w:val="18"/>
          <w:lang w:val="en-US" w:eastAsia="fr-FR"/>
        </w:rPr>
        <w:t>first of all</w:t>
      </w:r>
      <w:proofErr w:type="gramEnd"/>
      <w:r w:rsidRPr="00297478">
        <w:rPr>
          <w:rFonts w:ascii="Arial" w:eastAsia="Times New Roman" w:hAnsi="Arial" w:cs="Arial"/>
          <w:color w:val="000000"/>
          <w:sz w:val="18"/>
          <w:szCs w:val="18"/>
          <w:lang w:val="en-US" w:eastAsia="fr-FR"/>
        </w:rPr>
        <w:t xml:space="preserve">, that Article 172 TFEU and Regulation No 347/2013 cannot be interpreted as meaning that the status of a Union PCI is entirely precarious. They submit that no one could have considered that the discriminatory removal of the status of a Union PCI from the proposed Aquind interconnector was ‘likely’. Next, they submit that the arbitrary removal, after two years, of the proposed Aquind interconnector from the Union list of PCIs infringed their legitimate expectations. According to the applicants, the objective of encouraging investment in priority projects provided for by Regulation No 347/2013, the initial inclusion of the proposed Aquind interconnector as a Union PCI, and the considerable efforts and significant </w:t>
      </w:r>
      <w:proofErr w:type="gramStart"/>
      <w:r w:rsidRPr="00297478">
        <w:rPr>
          <w:rFonts w:ascii="Arial" w:eastAsia="Times New Roman" w:hAnsi="Arial" w:cs="Arial"/>
          <w:color w:val="000000"/>
          <w:sz w:val="18"/>
          <w:szCs w:val="18"/>
          <w:lang w:val="en-US" w:eastAsia="fr-FR"/>
        </w:rPr>
        <w:t>investments which they made</w:t>
      </w:r>
      <w:proofErr w:type="gramEnd"/>
      <w:r w:rsidRPr="00297478">
        <w:rPr>
          <w:rFonts w:ascii="Arial" w:eastAsia="Times New Roman" w:hAnsi="Arial" w:cs="Arial"/>
          <w:color w:val="000000"/>
          <w:sz w:val="18"/>
          <w:szCs w:val="18"/>
          <w:lang w:val="en-US" w:eastAsia="fr-FR"/>
        </w:rPr>
        <w:t xml:space="preserve"> provided them with a certain degree of stability in the status of that project. In addition, they state that ACER’s refusal in 2018 to grant an exemption under Article 17 of Regulation No 714/2009 </w:t>
      </w:r>
      <w:proofErr w:type="gramStart"/>
      <w:r w:rsidRPr="00297478">
        <w:rPr>
          <w:rFonts w:ascii="Arial" w:eastAsia="Times New Roman" w:hAnsi="Arial" w:cs="Arial"/>
          <w:color w:val="000000"/>
          <w:sz w:val="18"/>
          <w:szCs w:val="18"/>
          <w:lang w:val="en-US" w:eastAsia="fr-FR"/>
        </w:rPr>
        <w:t>was motivated</w:t>
      </w:r>
      <w:proofErr w:type="gramEnd"/>
      <w:r w:rsidRPr="00297478">
        <w:rPr>
          <w:rFonts w:ascii="Arial" w:eastAsia="Times New Roman" w:hAnsi="Arial" w:cs="Arial"/>
          <w:color w:val="000000"/>
          <w:sz w:val="18"/>
          <w:szCs w:val="18"/>
          <w:lang w:val="en-US" w:eastAsia="fr-FR"/>
        </w:rPr>
        <w:t xml:space="preserve"> by the fact that the proposed Aquind interconnector appeared on the Union list of PCIs and therefore enjoyed the benefits provided for in Article 12 of Regulation No 347/2013. In their view, by that decision, the European Union gave them an assurance that the proposed Aquind interconnector </w:t>
      </w:r>
      <w:proofErr w:type="gramStart"/>
      <w:r w:rsidRPr="00297478">
        <w:rPr>
          <w:rFonts w:ascii="Arial" w:eastAsia="Times New Roman" w:hAnsi="Arial" w:cs="Arial"/>
          <w:color w:val="000000"/>
          <w:sz w:val="18"/>
          <w:szCs w:val="18"/>
          <w:lang w:val="en-US" w:eastAsia="fr-FR"/>
        </w:rPr>
        <w:t>would not be removed</w:t>
      </w:r>
      <w:proofErr w:type="gramEnd"/>
      <w:r w:rsidRPr="00297478">
        <w:rPr>
          <w:rFonts w:ascii="Arial" w:eastAsia="Times New Roman" w:hAnsi="Arial" w:cs="Arial"/>
          <w:color w:val="000000"/>
          <w:sz w:val="18"/>
          <w:szCs w:val="18"/>
          <w:lang w:val="en-US" w:eastAsia="fr-FR"/>
        </w:rPr>
        <w:t xml:space="preserve"> from that list arbitrarily. Lastly, they submit that the French Republic was wrong to state that there could be no legitimate expectation on their part, allegedly because the four proposed interconnectors between France and the United Kingdom were in competition. They claim that the removal of the proposed Aquind interconnector from the Union list of PCIs directly reduced the competitive pressure on the remaining projects and gave them an advantage, resulting in the opposite of it being ‘left to the market to determine which PCI is to be implemented’.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5" w:name="point125"/>
      <w:r w:rsidRPr="00297478">
        <w:rPr>
          <w:rFonts w:ascii="Arial" w:eastAsia="Times New Roman" w:hAnsi="Arial" w:cs="Arial"/>
          <w:color w:val="006699"/>
          <w:sz w:val="18"/>
          <w:szCs w:val="18"/>
          <w:lang w:val="en-US" w:eastAsia="fr-FR"/>
        </w:rPr>
        <w:lastRenderedPageBreak/>
        <w:t>125</w:t>
      </w:r>
      <w:bookmarkEnd w:id="125"/>
      <w:r w:rsidRPr="00297478">
        <w:rPr>
          <w:rFonts w:ascii="Arial" w:eastAsia="Times New Roman" w:hAnsi="Arial" w:cs="Arial"/>
          <w:color w:val="000000"/>
          <w:sz w:val="18"/>
          <w:szCs w:val="18"/>
          <w:lang w:val="en-US" w:eastAsia="fr-FR"/>
        </w:rPr>
        <w:t>    The Commission, supported by the Kingdom of Spain and the French Republic, disputes that plea.</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6" w:name="point126"/>
      <w:proofErr w:type="gramStart"/>
      <w:r w:rsidRPr="00297478">
        <w:rPr>
          <w:rFonts w:ascii="Arial" w:eastAsia="Times New Roman" w:hAnsi="Arial" w:cs="Arial"/>
          <w:color w:val="006699"/>
          <w:sz w:val="18"/>
          <w:szCs w:val="18"/>
          <w:lang w:val="en-US" w:eastAsia="fr-FR"/>
        </w:rPr>
        <w:t>126</w:t>
      </w:r>
      <w:bookmarkEnd w:id="126"/>
      <w:r w:rsidRPr="00297478">
        <w:rPr>
          <w:rFonts w:ascii="Arial" w:eastAsia="Times New Roman" w:hAnsi="Arial" w:cs="Arial"/>
          <w:color w:val="000000"/>
          <w:sz w:val="18"/>
          <w:szCs w:val="18"/>
          <w:lang w:val="en-US" w:eastAsia="fr-FR"/>
        </w:rPr>
        <w:t>    As a preliminary point, it must be recalled that, according to settled case-law, the principle of legal certainty, the corollary of which is the principle of the protection of legitimate expectations, requires, on the one hand, that rules of law must be clear and precise and, on the other, that their application must be foreseeable by those subject to them (judgments of 7 June 2005, </w:t>
      </w:r>
      <w:r w:rsidRPr="00297478">
        <w:rPr>
          <w:rFonts w:ascii="Arial" w:eastAsia="Times New Roman" w:hAnsi="Arial" w:cs="Arial"/>
          <w:i/>
          <w:iCs/>
          <w:color w:val="000000"/>
          <w:sz w:val="18"/>
          <w:szCs w:val="18"/>
          <w:lang w:val="en-US" w:eastAsia="fr-FR"/>
        </w:rPr>
        <w:t>VEMW and Others</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17/03, EU:C:2005:362, paragraph 80, and of 10 September 2009, </w:t>
      </w:r>
      <w:r w:rsidRPr="00297478">
        <w:rPr>
          <w:rFonts w:ascii="Arial" w:eastAsia="Times New Roman" w:hAnsi="Arial" w:cs="Arial"/>
          <w:i/>
          <w:iCs/>
          <w:color w:val="000000"/>
          <w:sz w:val="18"/>
          <w:szCs w:val="18"/>
          <w:lang w:val="en-US" w:eastAsia="fr-FR"/>
        </w:rPr>
        <w:t>Plantanol</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201/08, EU:C:2009:539, paragraph 46).</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7" w:name="point127"/>
      <w:r w:rsidRPr="00297478">
        <w:rPr>
          <w:rFonts w:ascii="Arial" w:eastAsia="Times New Roman" w:hAnsi="Arial" w:cs="Arial"/>
          <w:color w:val="006699"/>
          <w:sz w:val="18"/>
          <w:szCs w:val="18"/>
          <w:lang w:val="en-US" w:eastAsia="fr-FR"/>
        </w:rPr>
        <w:t>127</w:t>
      </w:r>
      <w:bookmarkEnd w:id="127"/>
      <w:r w:rsidRPr="00297478">
        <w:rPr>
          <w:rFonts w:ascii="Arial" w:eastAsia="Times New Roman" w:hAnsi="Arial" w:cs="Arial"/>
          <w:color w:val="000000"/>
          <w:sz w:val="18"/>
          <w:szCs w:val="18"/>
          <w:lang w:val="en-US" w:eastAsia="fr-FR"/>
        </w:rPr>
        <w:t xml:space="preserve">    It is also settled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that the principle of the protection of legitimate expectations is one of the fundamental principles of the European Union. The right to rely on that principle extends to any person with regard to whom an institution of the European Union has given rise to justified hopes. In whatever form it is given, </w:t>
      </w:r>
      <w:proofErr w:type="gramStart"/>
      <w:r w:rsidRPr="00297478">
        <w:rPr>
          <w:rFonts w:ascii="Arial" w:eastAsia="Times New Roman" w:hAnsi="Arial" w:cs="Arial"/>
          <w:color w:val="000000"/>
          <w:sz w:val="18"/>
          <w:szCs w:val="18"/>
          <w:lang w:val="en-US" w:eastAsia="fr-FR"/>
        </w:rPr>
        <w:t>information which</w:t>
      </w:r>
      <w:proofErr w:type="gramEnd"/>
      <w:r w:rsidRPr="00297478">
        <w:rPr>
          <w:rFonts w:ascii="Arial" w:eastAsia="Times New Roman" w:hAnsi="Arial" w:cs="Arial"/>
          <w:color w:val="000000"/>
          <w:sz w:val="18"/>
          <w:szCs w:val="18"/>
          <w:lang w:val="en-US" w:eastAsia="fr-FR"/>
        </w:rPr>
        <w:t xml:space="preserve"> is precise, unconditional and consistent, and comes from authorised and reliable sources constitutes assurances capable of giving rise to such hopes. However, a person may not plead an infringement of that principle unless he or she </w:t>
      </w:r>
      <w:proofErr w:type="gramStart"/>
      <w:r w:rsidRPr="00297478">
        <w:rPr>
          <w:rFonts w:ascii="Arial" w:eastAsia="Times New Roman" w:hAnsi="Arial" w:cs="Arial"/>
          <w:color w:val="000000"/>
          <w:sz w:val="18"/>
          <w:szCs w:val="18"/>
          <w:lang w:val="en-US" w:eastAsia="fr-FR"/>
        </w:rPr>
        <w:t>has been given</w:t>
      </w:r>
      <w:proofErr w:type="gramEnd"/>
      <w:r w:rsidRPr="00297478">
        <w:rPr>
          <w:rFonts w:ascii="Arial" w:eastAsia="Times New Roman" w:hAnsi="Arial" w:cs="Arial"/>
          <w:color w:val="000000"/>
          <w:sz w:val="18"/>
          <w:szCs w:val="18"/>
          <w:lang w:val="en-US" w:eastAsia="fr-FR"/>
        </w:rPr>
        <w:t xml:space="preserve"> precise assurances by the administration. </w:t>
      </w:r>
      <w:proofErr w:type="gramStart"/>
      <w:r w:rsidRPr="00297478">
        <w:rPr>
          <w:rFonts w:ascii="Arial" w:eastAsia="Times New Roman" w:hAnsi="Arial" w:cs="Arial"/>
          <w:color w:val="000000"/>
          <w:sz w:val="18"/>
          <w:szCs w:val="18"/>
          <w:lang w:val="en-US" w:eastAsia="fr-FR"/>
        </w:rPr>
        <w:t>Similarly, if a prudent and alert economic operator can foresee the adoption of an EU measure likely to affect his or her interests, he or she cannot plead the principle of the protection of legitimate expectations if the measure is adopted (judgments of 14 March 2013, </w:t>
      </w:r>
      <w:r w:rsidRPr="00297478">
        <w:rPr>
          <w:rFonts w:ascii="Arial" w:eastAsia="Times New Roman" w:hAnsi="Arial" w:cs="Arial"/>
          <w:i/>
          <w:iCs/>
          <w:color w:val="000000"/>
          <w:sz w:val="18"/>
          <w:szCs w:val="18"/>
          <w:lang w:val="en-US" w:eastAsia="fr-FR"/>
        </w:rPr>
        <w:t>Agrargenossenschaft Neuzelle</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545/11, EU:C:2013:169, paragraphs 23 to 26, and of 26 September 2014, </w:t>
      </w:r>
      <w:r w:rsidRPr="00297478">
        <w:rPr>
          <w:rFonts w:ascii="Arial" w:eastAsia="Times New Roman" w:hAnsi="Arial" w:cs="Arial"/>
          <w:i/>
          <w:iCs/>
          <w:color w:val="000000"/>
          <w:sz w:val="18"/>
          <w:szCs w:val="18"/>
          <w:lang w:val="en-US" w:eastAsia="fr-FR"/>
        </w:rPr>
        <w:t>B&amp;S Europe</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Commission</w:t>
      </w:r>
      <w:r w:rsidRPr="00297478">
        <w:rPr>
          <w:rFonts w:ascii="Arial" w:eastAsia="Times New Roman" w:hAnsi="Arial" w:cs="Arial"/>
          <w:color w:val="000000"/>
          <w:sz w:val="18"/>
          <w:szCs w:val="18"/>
          <w:lang w:val="en-US" w:eastAsia="fr-FR"/>
        </w:rPr>
        <w:t>, T</w:t>
      </w:r>
      <w:r w:rsidRPr="00297478">
        <w:rPr>
          <w:rFonts w:ascii="Arial" w:eastAsia="Times New Roman" w:hAnsi="Arial" w:cs="Arial"/>
          <w:color w:val="000000"/>
          <w:sz w:val="18"/>
          <w:szCs w:val="18"/>
          <w:lang w:val="en-US" w:eastAsia="fr-FR"/>
        </w:rPr>
        <w:noBreakHyphen/>
        <w:t>222/13, not published, EU:T:2014:837, paragraph 47).</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8" w:name="point128"/>
      <w:r w:rsidRPr="00297478">
        <w:rPr>
          <w:rFonts w:ascii="Arial" w:eastAsia="Times New Roman" w:hAnsi="Arial" w:cs="Arial"/>
          <w:color w:val="006699"/>
          <w:sz w:val="18"/>
          <w:szCs w:val="18"/>
          <w:lang w:val="en-US" w:eastAsia="fr-FR"/>
        </w:rPr>
        <w:t>128</w:t>
      </w:r>
      <w:bookmarkEnd w:id="128"/>
      <w:r w:rsidRPr="00297478">
        <w:rPr>
          <w:rFonts w:ascii="Arial" w:eastAsia="Times New Roman" w:hAnsi="Arial" w:cs="Arial"/>
          <w:color w:val="000000"/>
          <w:sz w:val="18"/>
          <w:szCs w:val="18"/>
          <w:lang w:val="en-US" w:eastAsia="fr-FR"/>
        </w:rPr>
        <w:t xml:space="preserve">    It is also clear from the </w:t>
      </w:r>
      <w:proofErr w:type="gramStart"/>
      <w:r w:rsidRPr="00297478">
        <w:rPr>
          <w:rFonts w:ascii="Arial" w:eastAsia="Times New Roman" w:hAnsi="Arial" w:cs="Arial"/>
          <w:color w:val="000000"/>
          <w:sz w:val="18"/>
          <w:szCs w:val="18"/>
          <w:lang w:val="en-US" w:eastAsia="fr-FR"/>
        </w:rPr>
        <w:t>case-law</w:t>
      </w:r>
      <w:proofErr w:type="gramEnd"/>
      <w:r w:rsidRPr="00297478">
        <w:rPr>
          <w:rFonts w:ascii="Arial" w:eastAsia="Times New Roman" w:hAnsi="Arial" w:cs="Arial"/>
          <w:color w:val="000000"/>
          <w:sz w:val="18"/>
          <w:szCs w:val="18"/>
          <w:lang w:val="en-US" w:eastAsia="fr-FR"/>
        </w:rPr>
        <w:t xml:space="preserve"> that the principle of the protection of legitimate expectations may be relied on by any economic operator on whose part national authorities have created reasonable expectations. </w:t>
      </w:r>
      <w:proofErr w:type="gramStart"/>
      <w:r w:rsidRPr="00297478">
        <w:rPr>
          <w:rFonts w:ascii="Arial" w:eastAsia="Times New Roman" w:hAnsi="Arial" w:cs="Arial"/>
          <w:color w:val="000000"/>
          <w:sz w:val="18"/>
          <w:szCs w:val="18"/>
          <w:lang w:val="en-US" w:eastAsia="fr-FR"/>
        </w:rPr>
        <w:t>However, economic operators cannot justifiably claim a legitimate expectation that an existing situation which may be altered by the national authorities in the exercise of their discretionary power will be maintained (see, to that effect, judgments of 10 September 2009, </w:t>
      </w:r>
      <w:r w:rsidRPr="00297478">
        <w:rPr>
          <w:rFonts w:ascii="Arial" w:eastAsia="Times New Roman" w:hAnsi="Arial" w:cs="Arial"/>
          <w:i/>
          <w:iCs/>
          <w:color w:val="000000"/>
          <w:sz w:val="18"/>
          <w:szCs w:val="18"/>
          <w:lang w:val="en-US" w:eastAsia="fr-FR"/>
        </w:rPr>
        <w:t>Plantanol</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201/08, EU:C:2009:539, paragraph 53, and of 11 July 2019, </w:t>
      </w:r>
      <w:r w:rsidRPr="00297478">
        <w:rPr>
          <w:rFonts w:ascii="Arial" w:eastAsia="Times New Roman" w:hAnsi="Arial" w:cs="Arial"/>
          <w:i/>
          <w:iCs/>
          <w:color w:val="000000"/>
          <w:sz w:val="18"/>
          <w:szCs w:val="18"/>
          <w:lang w:val="en-US" w:eastAsia="fr-FR"/>
        </w:rPr>
        <w:t>Agrenergy and Fusignano Due</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180/18, C</w:t>
      </w:r>
      <w:r w:rsidRPr="00297478">
        <w:rPr>
          <w:rFonts w:ascii="Arial" w:eastAsia="Times New Roman" w:hAnsi="Arial" w:cs="Arial"/>
          <w:color w:val="000000"/>
          <w:sz w:val="18"/>
          <w:szCs w:val="18"/>
          <w:lang w:val="en-US" w:eastAsia="fr-FR"/>
        </w:rPr>
        <w:noBreakHyphen/>
        <w:t>286/18 and C</w:t>
      </w:r>
      <w:r w:rsidRPr="00297478">
        <w:rPr>
          <w:rFonts w:ascii="Arial" w:eastAsia="Times New Roman" w:hAnsi="Arial" w:cs="Arial"/>
          <w:color w:val="000000"/>
          <w:sz w:val="18"/>
          <w:szCs w:val="18"/>
          <w:lang w:val="en-US" w:eastAsia="fr-FR"/>
        </w:rPr>
        <w:noBreakHyphen/>
        <w:t>287/18, EU:C:2019:605, paragraph 31).</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29" w:name="point129"/>
      <w:proofErr w:type="gramStart"/>
      <w:r w:rsidRPr="00297478">
        <w:rPr>
          <w:rFonts w:ascii="Arial" w:eastAsia="Times New Roman" w:hAnsi="Arial" w:cs="Arial"/>
          <w:color w:val="006699"/>
          <w:sz w:val="18"/>
          <w:szCs w:val="18"/>
          <w:lang w:val="en-US" w:eastAsia="fr-FR"/>
        </w:rPr>
        <w:t>129</w:t>
      </w:r>
      <w:bookmarkEnd w:id="129"/>
      <w:r w:rsidRPr="00297478">
        <w:rPr>
          <w:rFonts w:ascii="Arial" w:eastAsia="Times New Roman" w:hAnsi="Arial" w:cs="Arial"/>
          <w:color w:val="000000"/>
          <w:sz w:val="18"/>
          <w:szCs w:val="18"/>
          <w:lang w:val="en-US" w:eastAsia="fr-FR"/>
        </w:rPr>
        <w:t>    It is in the light of that case-law that the Court must determine whether, in the context of the adoption of the list of proposals drawn up by the regional group concerned and the adoption of the Union list of PCIs, it may be said that the Commission infringed the principles of legal certainty and the protection of the applicants’ legitimate expectations that the status of a Union PCI of the proposed Aquind interconnector would be maintained.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0" w:name="point130"/>
      <w:r w:rsidRPr="00297478">
        <w:rPr>
          <w:rFonts w:ascii="Arial" w:eastAsia="Times New Roman" w:hAnsi="Arial" w:cs="Arial"/>
          <w:color w:val="006699"/>
          <w:sz w:val="18"/>
          <w:szCs w:val="18"/>
          <w:lang w:val="en-US" w:eastAsia="fr-FR"/>
        </w:rPr>
        <w:t>130</w:t>
      </w:r>
      <w:bookmarkEnd w:id="130"/>
      <w:r w:rsidRPr="00297478">
        <w:rPr>
          <w:rFonts w:ascii="Arial" w:eastAsia="Times New Roman" w:hAnsi="Arial" w:cs="Arial"/>
          <w:color w:val="000000"/>
          <w:sz w:val="18"/>
          <w:szCs w:val="18"/>
          <w:lang w:val="en-US" w:eastAsia="fr-FR"/>
        </w:rPr>
        <w:t>    First, it must be pointed out that the Commission had no discretion as regards the non-inclusion of the project at issue following the refusal by the French Republic to give its approval to the inclusion of the proposed Aquind interconnector in the Union list of PCIs, and that it could therefore only take note of that refusal.</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1" w:name="point131"/>
      <w:proofErr w:type="gramStart"/>
      <w:r w:rsidRPr="00297478">
        <w:rPr>
          <w:rFonts w:ascii="Arial" w:eastAsia="Times New Roman" w:hAnsi="Arial" w:cs="Arial"/>
          <w:color w:val="006699"/>
          <w:sz w:val="18"/>
          <w:szCs w:val="18"/>
          <w:lang w:val="en-US" w:eastAsia="fr-FR"/>
        </w:rPr>
        <w:t>131</w:t>
      </w:r>
      <w:bookmarkEnd w:id="131"/>
      <w:r w:rsidRPr="00297478">
        <w:rPr>
          <w:rFonts w:ascii="Arial" w:eastAsia="Times New Roman" w:hAnsi="Arial" w:cs="Arial"/>
          <w:color w:val="000000"/>
          <w:sz w:val="18"/>
          <w:szCs w:val="18"/>
          <w:lang w:val="en-US" w:eastAsia="fr-FR"/>
        </w:rPr>
        <w:t>    Secondly, as has been pointed out, in particular, in paragraphs 69 to 71 above, it is clear from the applicable legislation that a new list of Union PCIs is drawn up every two years, that all projects – including those on the existing Union list of PCIs – are subject to the same selection procedure, that projects which have already been included in the previous Union list of PCIs do not therefore have any benefit over the new projects and that the Union PCIs which relate to the territory of a Member State require the approval of that Member State.</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2" w:name="point132"/>
      <w:proofErr w:type="gramStart"/>
      <w:r w:rsidRPr="00297478">
        <w:rPr>
          <w:rFonts w:ascii="Arial" w:eastAsia="Times New Roman" w:hAnsi="Arial" w:cs="Arial"/>
          <w:color w:val="006699"/>
          <w:sz w:val="18"/>
          <w:szCs w:val="18"/>
          <w:lang w:val="en-US" w:eastAsia="fr-FR"/>
        </w:rPr>
        <w:t>132</w:t>
      </w:r>
      <w:bookmarkEnd w:id="132"/>
      <w:r w:rsidRPr="00297478">
        <w:rPr>
          <w:rFonts w:ascii="Arial" w:eastAsia="Times New Roman" w:hAnsi="Arial" w:cs="Arial"/>
          <w:color w:val="000000"/>
          <w:sz w:val="18"/>
          <w:szCs w:val="18"/>
          <w:lang w:val="en-US" w:eastAsia="fr-FR"/>
        </w:rPr>
        <w:t>    The unambiguous content of Regulation No 347/2013 precludes the conclusion that the objective of that regulation – which is, in essence, to encourage investment in priority projects – and the inclusion of the proposed Aquind interconnector in the Union list of PCIs constituted an assurance for the applicants that that project would automatically be included in the new Union list of PCIs.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3" w:name="point133"/>
      <w:proofErr w:type="gramStart"/>
      <w:r w:rsidRPr="00297478">
        <w:rPr>
          <w:rFonts w:ascii="Arial" w:eastAsia="Times New Roman" w:hAnsi="Arial" w:cs="Arial"/>
          <w:color w:val="006699"/>
          <w:sz w:val="18"/>
          <w:szCs w:val="18"/>
          <w:lang w:val="en-US" w:eastAsia="fr-FR"/>
        </w:rPr>
        <w:t>133</w:t>
      </w:r>
      <w:bookmarkEnd w:id="133"/>
      <w:r w:rsidRPr="00297478">
        <w:rPr>
          <w:rFonts w:ascii="Arial" w:eastAsia="Times New Roman" w:hAnsi="Arial" w:cs="Arial"/>
          <w:color w:val="000000"/>
          <w:sz w:val="18"/>
          <w:szCs w:val="18"/>
          <w:lang w:val="en-US" w:eastAsia="fr-FR"/>
        </w:rPr>
        <w:t>    Thirdly, the applicants submit that the decision of the Board of Appeal of ACER of 17 October 2018 rejecting their request for an exemption under Article 17 of Regulation No 714/2009 for the proposed Aquind interconnector constituted an assurance on the part of the European Union that the proposed Aquind interconnector would not be removed from the Union list arbitrarily or for as long as it satisfied the listing conditions.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4" w:name="point134"/>
      <w:r w:rsidRPr="00297478">
        <w:rPr>
          <w:rFonts w:ascii="Arial" w:eastAsia="Times New Roman" w:hAnsi="Arial" w:cs="Arial"/>
          <w:color w:val="006699"/>
          <w:sz w:val="18"/>
          <w:szCs w:val="18"/>
          <w:lang w:val="en-US" w:eastAsia="fr-FR"/>
        </w:rPr>
        <w:t>134</w:t>
      </w:r>
      <w:bookmarkEnd w:id="134"/>
      <w:r w:rsidRPr="00297478">
        <w:rPr>
          <w:rFonts w:ascii="Arial" w:eastAsia="Times New Roman" w:hAnsi="Arial" w:cs="Arial"/>
          <w:color w:val="000000"/>
          <w:sz w:val="18"/>
          <w:szCs w:val="18"/>
          <w:lang w:val="en-US" w:eastAsia="fr-FR"/>
        </w:rPr>
        <w:t>    In that regard, it is appropriate to recall that, according to Article 17(1</w:t>
      </w:r>
      <w:proofErr w:type="gramStart"/>
      <w:r w:rsidRPr="00297478">
        <w:rPr>
          <w:rFonts w:ascii="Arial" w:eastAsia="Times New Roman" w:hAnsi="Arial" w:cs="Arial"/>
          <w:color w:val="000000"/>
          <w:sz w:val="18"/>
          <w:szCs w:val="18"/>
          <w:lang w:val="en-US" w:eastAsia="fr-FR"/>
        </w:rPr>
        <w:t>)(</w:t>
      </w:r>
      <w:proofErr w:type="gramEnd"/>
      <w:r w:rsidRPr="00297478">
        <w:rPr>
          <w:rFonts w:ascii="Arial" w:eastAsia="Times New Roman" w:hAnsi="Arial" w:cs="Arial"/>
          <w:color w:val="000000"/>
          <w:sz w:val="18"/>
          <w:szCs w:val="18"/>
          <w:lang w:val="en-US" w:eastAsia="fr-FR"/>
        </w:rPr>
        <w:t xml:space="preserve">b) of Regulation No 714/2009, the exemption from the regulated scheme may be granted if ‘the level of risk attached to the investment is such that the investment would not take place unless an exemption is granted’. The applicants state that ACER’s refusal to grant them the exemption was </w:t>
      </w:r>
      <w:proofErr w:type="gramStart"/>
      <w:r w:rsidRPr="00297478">
        <w:rPr>
          <w:rFonts w:ascii="Arial" w:eastAsia="Times New Roman" w:hAnsi="Arial" w:cs="Arial"/>
          <w:color w:val="000000"/>
          <w:sz w:val="18"/>
          <w:szCs w:val="18"/>
          <w:lang w:val="en-US" w:eastAsia="fr-FR"/>
        </w:rPr>
        <w:t>based on the fact that</w:t>
      </w:r>
      <w:proofErr w:type="gramEnd"/>
      <w:r w:rsidRPr="00297478">
        <w:rPr>
          <w:rFonts w:ascii="Arial" w:eastAsia="Times New Roman" w:hAnsi="Arial" w:cs="Arial"/>
          <w:color w:val="000000"/>
          <w:sz w:val="18"/>
          <w:szCs w:val="18"/>
          <w:lang w:val="en-US" w:eastAsia="fr-FR"/>
        </w:rPr>
        <w:t xml:space="preserve"> the proposed Aquind interconnector was included in the Union list of PCIs and that it therefore enjoyed the benefits provided for in Article 12 of Regulation No 347/2013.</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5" w:name="point135"/>
      <w:proofErr w:type="gramStart"/>
      <w:r w:rsidRPr="00297478">
        <w:rPr>
          <w:rFonts w:ascii="Arial" w:eastAsia="Times New Roman" w:hAnsi="Arial" w:cs="Arial"/>
          <w:color w:val="006699"/>
          <w:sz w:val="18"/>
          <w:szCs w:val="18"/>
          <w:lang w:val="en-US" w:eastAsia="fr-FR"/>
        </w:rPr>
        <w:t>135</w:t>
      </w:r>
      <w:bookmarkEnd w:id="135"/>
      <w:r w:rsidRPr="00297478">
        <w:rPr>
          <w:rFonts w:ascii="Arial" w:eastAsia="Times New Roman" w:hAnsi="Arial" w:cs="Arial"/>
          <w:color w:val="000000"/>
          <w:sz w:val="18"/>
          <w:szCs w:val="18"/>
          <w:lang w:val="en-US" w:eastAsia="fr-FR"/>
        </w:rPr>
        <w:t>    While it is true that, in rejecting the request for an exemption under Article 17(1)(b) of Regulation No 714/2009, ACER referred to the Union PCI status of the proposed Aquind interconnector (and to the cross-border cost allocation which the project in question might possibly benefit from as a result of that status), that reference did not in any way constitute an assurance capable of giving rise to an expectation on the part of the applicants that the proposed Aquind interconnector would automatically be included in the new Union list of PCIs.</w:t>
      </w:r>
      <w:proofErr w:type="gramEnd"/>
      <w:r w:rsidRPr="00297478">
        <w:rPr>
          <w:rFonts w:ascii="Arial" w:eastAsia="Times New Roman" w:hAnsi="Arial" w:cs="Arial"/>
          <w:color w:val="000000"/>
          <w:sz w:val="18"/>
          <w:szCs w:val="18"/>
          <w:lang w:val="en-US" w:eastAsia="fr-FR"/>
        </w:rPr>
        <w:t xml:space="preserve"> Rather, ACER’s approach had to be understood in the sense that, if the project in question was no longer included in the Union list of PCIs, that would open up the possibility of making another request for an exemption under that article.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6" w:name="point136"/>
      <w:r w:rsidRPr="00297478">
        <w:rPr>
          <w:rFonts w:ascii="Arial" w:eastAsia="Times New Roman" w:hAnsi="Arial" w:cs="Arial"/>
          <w:color w:val="006699"/>
          <w:sz w:val="18"/>
          <w:szCs w:val="18"/>
          <w:lang w:val="en-US" w:eastAsia="fr-FR"/>
        </w:rPr>
        <w:lastRenderedPageBreak/>
        <w:t>136</w:t>
      </w:r>
      <w:bookmarkEnd w:id="136"/>
      <w:r w:rsidRPr="00297478">
        <w:rPr>
          <w:rFonts w:ascii="Arial" w:eastAsia="Times New Roman" w:hAnsi="Arial" w:cs="Arial"/>
          <w:color w:val="000000"/>
          <w:sz w:val="18"/>
          <w:szCs w:val="18"/>
          <w:lang w:val="en-US" w:eastAsia="fr-FR"/>
        </w:rPr>
        <w:t>    In that sense, as the Commission points out, the applicants have no right to a ‘freeze’ of their legal situation as a result of the initial inclusion of their project in the Union list of PCIs, in circumstances where the legal framework foresaw the potential of such changes. Nor were they unaware that the decision relating to an exemption under Article 17(1</w:t>
      </w:r>
      <w:proofErr w:type="gramStart"/>
      <w:r w:rsidRPr="00297478">
        <w:rPr>
          <w:rFonts w:ascii="Arial" w:eastAsia="Times New Roman" w:hAnsi="Arial" w:cs="Arial"/>
          <w:color w:val="000000"/>
          <w:sz w:val="18"/>
          <w:szCs w:val="18"/>
          <w:lang w:val="en-US" w:eastAsia="fr-FR"/>
        </w:rPr>
        <w:t>)(</w:t>
      </w:r>
      <w:proofErr w:type="gramEnd"/>
      <w:r w:rsidRPr="00297478">
        <w:rPr>
          <w:rFonts w:ascii="Arial" w:eastAsia="Times New Roman" w:hAnsi="Arial" w:cs="Arial"/>
          <w:color w:val="000000"/>
          <w:sz w:val="18"/>
          <w:szCs w:val="18"/>
          <w:lang w:val="en-US" w:eastAsia="fr-FR"/>
        </w:rPr>
        <w:t>b) of Regulation No 714/2009 and the decision to adopt the Union list of PCIs were taken by different bodies that are independent from each other.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7" w:name="point137"/>
      <w:r w:rsidRPr="00297478">
        <w:rPr>
          <w:rFonts w:ascii="Arial" w:eastAsia="Times New Roman" w:hAnsi="Arial" w:cs="Arial"/>
          <w:color w:val="006699"/>
          <w:sz w:val="18"/>
          <w:szCs w:val="18"/>
          <w:lang w:val="en-US" w:eastAsia="fr-FR"/>
        </w:rPr>
        <w:t>137</w:t>
      </w:r>
      <w:bookmarkEnd w:id="137"/>
      <w:r w:rsidRPr="00297478">
        <w:rPr>
          <w:rFonts w:ascii="Arial" w:eastAsia="Times New Roman" w:hAnsi="Arial" w:cs="Arial"/>
          <w:color w:val="000000"/>
          <w:sz w:val="18"/>
          <w:szCs w:val="18"/>
          <w:lang w:val="en-US" w:eastAsia="fr-FR"/>
        </w:rPr>
        <w:t xml:space="preserve">    Fourthly, the applicants cannot in any way claim that the signing of the Energy Charter Treaty gave rise to precise, unconditional and consistent assurances for them that the proposed Aquind interconnector initially included in the Union list of PCIs was going to be automatically included in the new Union list. Apart from the fact that that argument is not substantiated in any way, the signing of such a treaty </w:t>
      </w:r>
      <w:proofErr w:type="gramStart"/>
      <w:r w:rsidRPr="00297478">
        <w:rPr>
          <w:rFonts w:ascii="Arial" w:eastAsia="Times New Roman" w:hAnsi="Arial" w:cs="Arial"/>
          <w:color w:val="000000"/>
          <w:sz w:val="18"/>
          <w:szCs w:val="18"/>
          <w:lang w:val="en-US" w:eastAsia="fr-FR"/>
        </w:rPr>
        <w:t>cannot on its own provide</w:t>
      </w:r>
      <w:proofErr w:type="gramEnd"/>
      <w:r w:rsidRPr="00297478">
        <w:rPr>
          <w:rFonts w:ascii="Arial" w:eastAsia="Times New Roman" w:hAnsi="Arial" w:cs="Arial"/>
          <w:color w:val="000000"/>
          <w:sz w:val="18"/>
          <w:szCs w:val="18"/>
          <w:lang w:val="en-US" w:eastAsia="fr-FR"/>
        </w:rPr>
        <w:t xml:space="preserve"> the promoters of a specific proposed interconnector with an assurance concerning the Union PCI status of their project. That is all the more so since the existence of that treaty did not make it possible to disregard the requirement for an initial approval by the French Republic, pursuant to the second paragraph of Article 172 TFEU, in order for their proposed Aquind interconnector to be included in the new regional list of the regional group. The applicants knew that such approval was lacking in the present case.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8" w:name="point138"/>
      <w:r w:rsidRPr="00297478">
        <w:rPr>
          <w:rFonts w:ascii="Arial" w:eastAsia="Times New Roman" w:hAnsi="Arial" w:cs="Arial"/>
          <w:color w:val="006699"/>
          <w:sz w:val="18"/>
          <w:szCs w:val="18"/>
          <w:lang w:val="en-US" w:eastAsia="fr-FR"/>
        </w:rPr>
        <w:t>138</w:t>
      </w:r>
      <w:bookmarkEnd w:id="138"/>
      <w:r w:rsidRPr="00297478">
        <w:rPr>
          <w:rFonts w:ascii="Arial" w:eastAsia="Times New Roman" w:hAnsi="Arial" w:cs="Arial"/>
          <w:color w:val="000000"/>
          <w:sz w:val="18"/>
          <w:szCs w:val="18"/>
          <w:lang w:val="en-US" w:eastAsia="fr-FR"/>
        </w:rPr>
        <w:t xml:space="preserve">    Fifthly, it is common ground that, when the new regional list of proposed projects and the new Union list of PCIs </w:t>
      </w:r>
      <w:proofErr w:type="gramStart"/>
      <w:r w:rsidRPr="00297478">
        <w:rPr>
          <w:rFonts w:ascii="Arial" w:eastAsia="Times New Roman" w:hAnsi="Arial" w:cs="Arial"/>
          <w:color w:val="000000"/>
          <w:sz w:val="18"/>
          <w:szCs w:val="18"/>
          <w:lang w:val="en-US" w:eastAsia="fr-FR"/>
        </w:rPr>
        <w:t>were being adopted</w:t>
      </w:r>
      <w:proofErr w:type="gramEnd"/>
      <w:r w:rsidRPr="00297478">
        <w:rPr>
          <w:rFonts w:ascii="Arial" w:eastAsia="Times New Roman" w:hAnsi="Arial" w:cs="Arial"/>
          <w:color w:val="000000"/>
          <w:sz w:val="18"/>
          <w:szCs w:val="18"/>
          <w:lang w:val="en-US" w:eastAsia="fr-FR"/>
        </w:rPr>
        <w:t xml:space="preserve">, the proposed Aquind interconnector was in competition with other proposed interconnectors between the United Kingdom and France. </w:t>
      </w:r>
      <w:proofErr w:type="gramStart"/>
      <w:r w:rsidRPr="00297478">
        <w:rPr>
          <w:rFonts w:ascii="Arial" w:eastAsia="Times New Roman" w:hAnsi="Arial" w:cs="Arial"/>
          <w:color w:val="000000"/>
          <w:sz w:val="18"/>
          <w:szCs w:val="18"/>
          <w:lang w:val="en-US" w:eastAsia="fr-FR"/>
        </w:rPr>
        <w:t>In that context, the applicants were fully informed that one or more of those projects could suffice to meet the objectives of Regulation No 347/2013 and that both the United Kingdom and the French Republic had a broad discretion under the second paragraph of Article 172 TFEU and Article 3(3) of Regulation No 347/2013 whether or not to give their approval to one or other of those projects.</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39" w:name="point139"/>
      <w:r w:rsidRPr="00297478">
        <w:rPr>
          <w:rFonts w:ascii="Arial" w:eastAsia="Times New Roman" w:hAnsi="Arial" w:cs="Arial"/>
          <w:color w:val="006699"/>
          <w:sz w:val="18"/>
          <w:szCs w:val="18"/>
          <w:lang w:val="en-US" w:eastAsia="fr-FR"/>
        </w:rPr>
        <w:t>139</w:t>
      </w:r>
      <w:bookmarkEnd w:id="139"/>
      <w:r w:rsidRPr="00297478">
        <w:rPr>
          <w:rFonts w:ascii="Arial" w:eastAsia="Times New Roman" w:hAnsi="Arial" w:cs="Arial"/>
          <w:color w:val="000000"/>
          <w:sz w:val="18"/>
          <w:szCs w:val="18"/>
          <w:lang w:val="en-US" w:eastAsia="fr-FR"/>
        </w:rPr>
        <w:t xml:space="preserve">    In that regard, the applicants cannot rely on the scoring obtained for the proposed Aquind interconnector (better than the one attributed to the other projects) in order to assert that their legitimate expectations were frustrated. As has already been pointed out in paragraph 108 above, neither the regional list nor the Union list of PCIs contained a ranking, and the </w:t>
      </w:r>
      <w:proofErr w:type="gramStart"/>
      <w:r w:rsidRPr="00297478">
        <w:rPr>
          <w:rFonts w:ascii="Arial" w:eastAsia="Times New Roman" w:hAnsi="Arial" w:cs="Arial"/>
          <w:color w:val="000000"/>
          <w:sz w:val="18"/>
          <w:szCs w:val="18"/>
          <w:lang w:val="en-US" w:eastAsia="fr-FR"/>
        </w:rPr>
        <w:t>ranking of the proposed PCIs carried out in accordance with the evaluation method could be used by the Commission</w:t>
      </w:r>
      <w:proofErr w:type="gramEnd"/>
      <w:r w:rsidRPr="00297478">
        <w:rPr>
          <w:rFonts w:ascii="Arial" w:eastAsia="Times New Roman" w:hAnsi="Arial" w:cs="Arial"/>
          <w:color w:val="000000"/>
          <w:sz w:val="18"/>
          <w:szCs w:val="18"/>
          <w:lang w:val="en-US" w:eastAsia="fr-FR"/>
        </w:rPr>
        <w:t xml:space="preserve"> only when it exercised the power to check whether the total number of projects was manageable.</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0" w:name="point140"/>
      <w:r w:rsidRPr="00297478">
        <w:rPr>
          <w:rFonts w:ascii="Arial" w:eastAsia="Times New Roman" w:hAnsi="Arial" w:cs="Arial"/>
          <w:color w:val="006699"/>
          <w:sz w:val="18"/>
          <w:szCs w:val="18"/>
          <w:lang w:val="en-US" w:eastAsia="fr-FR"/>
        </w:rPr>
        <w:t>140</w:t>
      </w:r>
      <w:bookmarkEnd w:id="140"/>
      <w:r w:rsidRPr="00297478">
        <w:rPr>
          <w:rFonts w:ascii="Arial" w:eastAsia="Times New Roman" w:hAnsi="Arial" w:cs="Arial"/>
          <w:color w:val="000000"/>
          <w:sz w:val="18"/>
          <w:szCs w:val="18"/>
          <w:lang w:val="en-US" w:eastAsia="fr-FR"/>
        </w:rPr>
        <w:t xml:space="preserve">    In the light of the foregoing, the seventh plea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after="240" w:line="240" w:lineRule="auto"/>
        <w:jc w:val="both"/>
        <w:rPr>
          <w:rFonts w:ascii="Arial" w:eastAsia="Times New Roman" w:hAnsi="Arial" w:cs="Arial"/>
          <w:i/>
          <w:iCs/>
          <w:color w:val="000000"/>
          <w:sz w:val="18"/>
          <w:szCs w:val="18"/>
          <w:lang w:val="en-US" w:eastAsia="fr-FR"/>
        </w:rPr>
      </w:pPr>
      <w:r w:rsidRPr="00297478">
        <w:rPr>
          <w:rFonts w:ascii="Arial" w:eastAsia="Times New Roman" w:hAnsi="Arial" w:cs="Arial"/>
          <w:i/>
          <w:iCs/>
          <w:color w:val="000000"/>
          <w:sz w:val="18"/>
          <w:szCs w:val="18"/>
          <w:lang w:val="en-US" w:eastAsia="fr-FR"/>
        </w:rPr>
        <w:t> </w:t>
      </w:r>
      <w:r w:rsidRPr="00297478">
        <w:rPr>
          <w:rFonts w:ascii="Arial" w:eastAsia="Times New Roman" w:hAnsi="Arial" w:cs="Arial"/>
          <w:b/>
          <w:bCs/>
          <w:i/>
          <w:iCs/>
          <w:color w:val="000000"/>
          <w:sz w:val="18"/>
          <w:szCs w:val="18"/>
          <w:lang w:val="en-US" w:eastAsia="fr-FR"/>
        </w:rPr>
        <w:t>The third plea in law, alleging infringement of Article 10(1) of the Energy Charter Treaty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1" w:name="point141"/>
      <w:r w:rsidRPr="00297478">
        <w:rPr>
          <w:rFonts w:ascii="Arial" w:eastAsia="Times New Roman" w:hAnsi="Arial" w:cs="Arial"/>
          <w:color w:val="006699"/>
          <w:sz w:val="18"/>
          <w:szCs w:val="18"/>
          <w:lang w:val="en-US" w:eastAsia="fr-FR"/>
        </w:rPr>
        <w:t>141</w:t>
      </w:r>
      <w:bookmarkEnd w:id="141"/>
      <w:r w:rsidRPr="00297478">
        <w:rPr>
          <w:rFonts w:ascii="Arial" w:eastAsia="Times New Roman" w:hAnsi="Arial" w:cs="Arial"/>
          <w:color w:val="000000"/>
          <w:sz w:val="18"/>
          <w:szCs w:val="18"/>
          <w:lang w:val="en-US" w:eastAsia="fr-FR"/>
        </w:rPr>
        <w:t xml:space="preserve">    By the third plea, the applicants allege infringement of Article 10(1) of the Energy Charter Treaty. First, they submit that that provision has direct effect on the ground that the nature and structure of the Energy Charter Treaty, viewed as a whole, make it capable of conferring enforceable rights, and that the Charter itself is sufficiently clear and precise and does not have to be the subject of further implementing measures. </w:t>
      </w:r>
      <w:proofErr w:type="gramStart"/>
      <w:r w:rsidRPr="00297478">
        <w:rPr>
          <w:rFonts w:ascii="Arial" w:eastAsia="Times New Roman" w:hAnsi="Arial" w:cs="Arial"/>
          <w:color w:val="000000"/>
          <w:sz w:val="18"/>
          <w:szCs w:val="18"/>
          <w:lang w:val="en-US" w:eastAsia="fr-FR"/>
        </w:rPr>
        <w:t>Secondly, they argue that that provision governs the treatment which each contracting party must accord to investors of the other contracting parties, that the European Union and each of its Member States are all contracting parties to the Energy Charter Treaty and that the investors of a Member State are investors from a contracting party other than the European Union, with the result that they are entitled to rely on that provision against the European Union.</w:t>
      </w:r>
      <w:proofErr w:type="gramEnd"/>
      <w:r w:rsidRPr="00297478">
        <w:rPr>
          <w:rFonts w:ascii="Arial" w:eastAsia="Times New Roman" w:hAnsi="Arial" w:cs="Arial"/>
          <w:color w:val="000000"/>
          <w:sz w:val="18"/>
          <w:szCs w:val="18"/>
          <w:lang w:val="en-US" w:eastAsia="fr-FR"/>
        </w:rPr>
        <w:t xml:space="preserve"> Thirdly, they submit that the protection provided for by the Energy Charter Treaty is, in any event, relevant for the interpretation of Regulation No 347/2013 and the application of the general principles of EU law from which all investors from the Member States must benefit.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2" w:name="point142"/>
      <w:r w:rsidRPr="00297478">
        <w:rPr>
          <w:rFonts w:ascii="Arial" w:eastAsia="Times New Roman" w:hAnsi="Arial" w:cs="Arial"/>
          <w:color w:val="006699"/>
          <w:sz w:val="18"/>
          <w:szCs w:val="18"/>
          <w:lang w:val="en-US" w:eastAsia="fr-FR"/>
        </w:rPr>
        <w:t>142</w:t>
      </w:r>
      <w:bookmarkEnd w:id="142"/>
      <w:r w:rsidRPr="00297478">
        <w:rPr>
          <w:rFonts w:ascii="Arial" w:eastAsia="Times New Roman" w:hAnsi="Arial" w:cs="Arial"/>
          <w:color w:val="000000"/>
          <w:sz w:val="18"/>
          <w:szCs w:val="18"/>
          <w:lang w:val="en-US" w:eastAsia="fr-FR"/>
        </w:rPr>
        <w:t>    The Commission, supported by the Federal Republic of Germany, the Kingdom of Spain and the French Republic, disputes that plea.</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3" w:name="point143"/>
      <w:r w:rsidRPr="00297478">
        <w:rPr>
          <w:rFonts w:ascii="Arial" w:eastAsia="Times New Roman" w:hAnsi="Arial" w:cs="Arial"/>
          <w:color w:val="006699"/>
          <w:sz w:val="18"/>
          <w:szCs w:val="18"/>
          <w:lang w:val="en-US" w:eastAsia="fr-FR"/>
        </w:rPr>
        <w:t>143</w:t>
      </w:r>
      <w:bookmarkEnd w:id="143"/>
      <w:r w:rsidRPr="00297478">
        <w:rPr>
          <w:rFonts w:ascii="Arial" w:eastAsia="Times New Roman" w:hAnsi="Arial" w:cs="Arial"/>
          <w:color w:val="000000"/>
          <w:sz w:val="18"/>
          <w:szCs w:val="18"/>
          <w:lang w:val="en-US" w:eastAsia="fr-FR"/>
        </w:rPr>
        <w:t xml:space="preserve">    As a preliminary point, it </w:t>
      </w:r>
      <w:proofErr w:type="gramStart"/>
      <w:r w:rsidRPr="00297478">
        <w:rPr>
          <w:rFonts w:ascii="Arial" w:eastAsia="Times New Roman" w:hAnsi="Arial" w:cs="Arial"/>
          <w:color w:val="000000"/>
          <w:sz w:val="18"/>
          <w:szCs w:val="18"/>
          <w:lang w:val="en-US" w:eastAsia="fr-FR"/>
        </w:rPr>
        <w:t>should be recalled</w:t>
      </w:r>
      <w:proofErr w:type="gramEnd"/>
      <w:r w:rsidRPr="00297478">
        <w:rPr>
          <w:rFonts w:ascii="Arial" w:eastAsia="Times New Roman" w:hAnsi="Arial" w:cs="Arial"/>
          <w:color w:val="000000"/>
          <w:sz w:val="18"/>
          <w:szCs w:val="18"/>
          <w:lang w:val="en-US" w:eastAsia="fr-FR"/>
        </w:rPr>
        <w:t xml:space="preserve"> that the Energy Charter Treaty is a multilateral agreement to which both the majority of the Member States and the European Union itself are parties.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4" w:name="point144"/>
      <w:r w:rsidRPr="00297478">
        <w:rPr>
          <w:rFonts w:ascii="Arial" w:eastAsia="Times New Roman" w:hAnsi="Arial" w:cs="Arial"/>
          <w:color w:val="006699"/>
          <w:sz w:val="18"/>
          <w:szCs w:val="18"/>
          <w:lang w:val="en-US" w:eastAsia="fr-FR"/>
        </w:rPr>
        <w:t>144</w:t>
      </w:r>
      <w:bookmarkEnd w:id="144"/>
      <w:r w:rsidRPr="00297478">
        <w:rPr>
          <w:rFonts w:ascii="Arial" w:eastAsia="Times New Roman" w:hAnsi="Arial" w:cs="Arial"/>
          <w:color w:val="000000"/>
          <w:sz w:val="18"/>
          <w:szCs w:val="18"/>
          <w:lang w:val="en-US" w:eastAsia="fr-FR"/>
        </w:rPr>
        <w:t>    Article 10 of the Energy Charter Treaty – entitled ‘Promotion, protection and treatment of investments’ – provides, in paragraph 1, as follows:</w:t>
      </w:r>
    </w:p>
    <w:p w:rsidR="00297478" w:rsidRPr="00297478" w:rsidRDefault="00297478" w:rsidP="00761F1A">
      <w:pPr>
        <w:spacing w:after="240" w:line="240" w:lineRule="auto"/>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‘Each Contracting Party shall, in accordance with the provisions of this Treaty, encourage and create stable, equitable, favourable and transparent conditions for investors of other Contracting Parties to make investments in its area. Such conditions shall include a commitment to accord at all times to investments of investors of other Contracting Parties fair and equitable treatment. Such investments shall also enjoy the most constant protection and security and no Contracting Party shall in any way impair by unreasonable or discriminatory measures their management, maintenance, use, enjoyment or disposal …’.</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5" w:name="point145"/>
      <w:r w:rsidRPr="00297478">
        <w:rPr>
          <w:rFonts w:ascii="Arial" w:eastAsia="Times New Roman" w:hAnsi="Arial" w:cs="Arial"/>
          <w:color w:val="006699"/>
          <w:sz w:val="18"/>
          <w:szCs w:val="18"/>
          <w:lang w:val="en-US" w:eastAsia="fr-FR"/>
        </w:rPr>
        <w:t>145</w:t>
      </w:r>
      <w:bookmarkEnd w:id="145"/>
      <w:r w:rsidRPr="00297478">
        <w:rPr>
          <w:rFonts w:ascii="Arial" w:eastAsia="Times New Roman" w:hAnsi="Arial" w:cs="Arial"/>
          <w:color w:val="000000"/>
          <w:sz w:val="18"/>
          <w:szCs w:val="18"/>
          <w:lang w:val="en-US" w:eastAsia="fr-FR"/>
        </w:rPr>
        <w:t xml:space="preserve">    First of all, it should be noted, in essence, that Article 10(1) of the Energy Charter Treaty lists general principles of </w:t>
      </w:r>
      <w:proofErr w:type="gramStart"/>
      <w:r w:rsidRPr="00297478">
        <w:rPr>
          <w:rFonts w:ascii="Arial" w:eastAsia="Times New Roman" w:hAnsi="Arial" w:cs="Arial"/>
          <w:color w:val="000000"/>
          <w:sz w:val="18"/>
          <w:szCs w:val="18"/>
          <w:lang w:val="en-US" w:eastAsia="fr-FR"/>
        </w:rPr>
        <w:t>law which</w:t>
      </w:r>
      <w:proofErr w:type="gramEnd"/>
      <w:r w:rsidRPr="00297478">
        <w:rPr>
          <w:rFonts w:ascii="Arial" w:eastAsia="Times New Roman" w:hAnsi="Arial" w:cs="Arial"/>
          <w:color w:val="000000"/>
          <w:sz w:val="18"/>
          <w:szCs w:val="18"/>
          <w:lang w:val="en-US" w:eastAsia="fr-FR"/>
        </w:rPr>
        <w:t xml:space="preserve"> exist in EU law, namely the principles of good administration, equal treatment, legal certainty, the </w:t>
      </w:r>
      <w:r w:rsidRPr="00297478">
        <w:rPr>
          <w:rFonts w:ascii="Arial" w:eastAsia="Times New Roman" w:hAnsi="Arial" w:cs="Arial"/>
          <w:color w:val="000000"/>
          <w:sz w:val="18"/>
          <w:szCs w:val="18"/>
          <w:lang w:val="en-US" w:eastAsia="fr-FR"/>
        </w:rPr>
        <w:lastRenderedPageBreak/>
        <w:t xml:space="preserve">protection of legitimate expectations and proportionality. It follows from the examination of the fourth to seventh pleas in law that, by not including the proposed Aquind interconnector in the contested regulation as a Union PCI, the Commission </w:t>
      </w:r>
      <w:proofErr w:type="gramStart"/>
      <w:r w:rsidRPr="00297478">
        <w:rPr>
          <w:rFonts w:ascii="Arial" w:eastAsia="Times New Roman" w:hAnsi="Arial" w:cs="Arial"/>
          <w:color w:val="000000"/>
          <w:sz w:val="18"/>
          <w:szCs w:val="18"/>
          <w:lang w:val="en-US" w:eastAsia="fr-FR"/>
        </w:rPr>
        <w:t>cannot be said</w:t>
      </w:r>
      <w:proofErr w:type="gramEnd"/>
      <w:r w:rsidRPr="00297478">
        <w:rPr>
          <w:rFonts w:ascii="Arial" w:eastAsia="Times New Roman" w:hAnsi="Arial" w:cs="Arial"/>
          <w:color w:val="000000"/>
          <w:sz w:val="18"/>
          <w:szCs w:val="18"/>
          <w:lang w:val="en-US" w:eastAsia="fr-FR"/>
        </w:rPr>
        <w:t xml:space="preserve"> to have infringed those principles. Accordingly, it </w:t>
      </w:r>
      <w:proofErr w:type="gramStart"/>
      <w:r w:rsidRPr="00297478">
        <w:rPr>
          <w:rFonts w:ascii="Arial" w:eastAsia="Times New Roman" w:hAnsi="Arial" w:cs="Arial"/>
          <w:color w:val="000000"/>
          <w:sz w:val="18"/>
          <w:szCs w:val="18"/>
          <w:lang w:val="en-US" w:eastAsia="fr-FR"/>
        </w:rPr>
        <w:t>cannot be said</w:t>
      </w:r>
      <w:proofErr w:type="gramEnd"/>
      <w:r w:rsidRPr="00297478">
        <w:rPr>
          <w:rFonts w:ascii="Arial" w:eastAsia="Times New Roman" w:hAnsi="Arial" w:cs="Arial"/>
          <w:color w:val="000000"/>
          <w:sz w:val="18"/>
          <w:szCs w:val="18"/>
          <w:lang w:val="en-US" w:eastAsia="fr-FR"/>
        </w:rPr>
        <w:t xml:space="preserve"> to have infringed Article 10(1) of the Energy Charter Treaty either.</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6" w:name="point146"/>
      <w:r w:rsidRPr="00297478">
        <w:rPr>
          <w:rFonts w:ascii="Arial" w:eastAsia="Times New Roman" w:hAnsi="Arial" w:cs="Arial"/>
          <w:color w:val="006699"/>
          <w:sz w:val="18"/>
          <w:szCs w:val="18"/>
          <w:lang w:val="en-US" w:eastAsia="fr-FR"/>
        </w:rPr>
        <w:t>146</w:t>
      </w:r>
      <w:bookmarkEnd w:id="146"/>
      <w:r w:rsidRPr="00297478">
        <w:rPr>
          <w:rFonts w:ascii="Arial" w:eastAsia="Times New Roman" w:hAnsi="Arial" w:cs="Arial"/>
          <w:color w:val="000000"/>
          <w:sz w:val="18"/>
          <w:szCs w:val="18"/>
          <w:lang w:val="en-US" w:eastAsia="fr-FR"/>
        </w:rPr>
        <w:t xml:space="preserve">    Next, the applicants claim, unsuccessfully, that the obligation to ensure transparent and equitable conditions was not complied with because of the infringement of the obligation to state reasons and of the procedural and substantive requirements relied on in the first and second pleas, those pleas having been rejected. It follows that, since it </w:t>
      </w:r>
      <w:proofErr w:type="gramStart"/>
      <w:r w:rsidRPr="00297478">
        <w:rPr>
          <w:rFonts w:ascii="Arial" w:eastAsia="Times New Roman" w:hAnsi="Arial" w:cs="Arial"/>
          <w:color w:val="000000"/>
          <w:sz w:val="18"/>
          <w:szCs w:val="18"/>
          <w:lang w:val="en-US" w:eastAsia="fr-FR"/>
        </w:rPr>
        <w:t>is based</w:t>
      </w:r>
      <w:proofErr w:type="gramEnd"/>
      <w:r w:rsidRPr="00297478">
        <w:rPr>
          <w:rFonts w:ascii="Arial" w:eastAsia="Times New Roman" w:hAnsi="Arial" w:cs="Arial"/>
          <w:color w:val="000000"/>
          <w:sz w:val="18"/>
          <w:szCs w:val="18"/>
          <w:lang w:val="en-US" w:eastAsia="fr-FR"/>
        </w:rPr>
        <w:t xml:space="preserve"> on the grounds set out in those pleas, the argument alleging infringement of Article 10(1) of the Energy Charter Treaty must be rejected.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7" w:name="point147"/>
      <w:proofErr w:type="gramStart"/>
      <w:r w:rsidRPr="00297478">
        <w:rPr>
          <w:rFonts w:ascii="Arial" w:eastAsia="Times New Roman" w:hAnsi="Arial" w:cs="Arial"/>
          <w:color w:val="006699"/>
          <w:sz w:val="18"/>
          <w:szCs w:val="18"/>
          <w:lang w:val="en-US" w:eastAsia="fr-FR"/>
        </w:rPr>
        <w:t>147</w:t>
      </w:r>
      <w:bookmarkEnd w:id="147"/>
      <w:r w:rsidRPr="00297478">
        <w:rPr>
          <w:rFonts w:ascii="Arial" w:eastAsia="Times New Roman" w:hAnsi="Arial" w:cs="Arial"/>
          <w:color w:val="000000"/>
          <w:sz w:val="18"/>
          <w:szCs w:val="18"/>
          <w:lang w:val="en-US" w:eastAsia="fr-FR"/>
        </w:rPr>
        <w:t>    Lastly, it should be recalled that the founding treaties, which constitute the basic constitutional charter of the European Union (see, to that effect, judgment of 23 April 1986, </w:t>
      </w:r>
      <w:r w:rsidRPr="00297478">
        <w:rPr>
          <w:rFonts w:ascii="Arial" w:eastAsia="Times New Roman" w:hAnsi="Arial" w:cs="Arial"/>
          <w:i/>
          <w:iCs/>
          <w:color w:val="000000"/>
          <w:sz w:val="18"/>
          <w:szCs w:val="18"/>
          <w:lang w:val="en-US" w:eastAsia="fr-FR"/>
        </w:rPr>
        <w:t>Les Verts</w:t>
      </w:r>
      <w:r w:rsidRPr="00297478">
        <w:rPr>
          <w:rFonts w:ascii="Arial" w:eastAsia="Times New Roman" w:hAnsi="Arial" w:cs="Arial"/>
          <w:color w:val="000000"/>
          <w:sz w:val="18"/>
          <w:szCs w:val="18"/>
          <w:lang w:val="en-US" w:eastAsia="fr-FR"/>
        </w:rPr>
        <w:t> v </w:t>
      </w:r>
      <w:r w:rsidRPr="00297478">
        <w:rPr>
          <w:rFonts w:ascii="Arial" w:eastAsia="Times New Roman" w:hAnsi="Arial" w:cs="Arial"/>
          <w:i/>
          <w:iCs/>
          <w:color w:val="000000"/>
          <w:sz w:val="18"/>
          <w:szCs w:val="18"/>
          <w:lang w:val="en-US" w:eastAsia="fr-FR"/>
        </w:rPr>
        <w:t>Parliament</w:t>
      </w:r>
      <w:r w:rsidRPr="00297478">
        <w:rPr>
          <w:rFonts w:ascii="Arial" w:eastAsia="Times New Roman" w:hAnsi="Arial" w:cs="Arial"/>
          <w:color w:val="000000"/>
          <w:sz w:val="18"/>
          <w:szCs w:val="18"/>
          <w:lang w:val="en-US" w:eastAsia="fr-FR"/>
        </w:rPr>
        <w:t>, 294/83, EU:C:1986:166, paragraph 23), have, unlike ordinary international treaties, established a new legal order, possessing its own institutions, for the benefit of which the Member States thereof have limited their sovereign rights, in ever wider fields, and the subjects of which comprise not only those States but also their nationals (see Opinion 2/13 </w:t>
      </w:r>
      <w:r w:rsidRPr="00297478">
        <w:rPr>
          <w:rFonts w:ascii="Arial" w:eastAsia="Times New Roman" w:hAnsi="Arial" w:cs="Arial"/>
          <w:i/>
          <w:iCs/>
          <w:color w:val="000000"/>
          <w:sz w:val="18"/>
          <w:szCs w:val="18"/>
          <w:lang w:val="en-US" w:eastAsia="fr-FR"/>
        </w:rPr>
        <w:t>(Accession of the European Union to the ECHR)</w:t>
      </w:r>
      <w:r w:rsidRPr="00297478">
        <w:rPr>
          <w:rFonts w:ascii="Arial" w:eastAsia="Times New Roman" w:hAnsi="Arial" w:cs="Arial"/>
          <w:color w:val="000000"/>
          <w:sz w:val="18"/>
          <w:szCs w:val="18"/>
          <w:lang w:val="en-US" w:eastAsia="fr-FR"/>
        </w:rPr>
        <w:t> of 18 December 2014, EU:C:2014:2454, paragraph 157 and the case-law cited).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8" w:name="point148"/>
      <w:r w:rsidRPr="00297478">
        <w:rPr>
          <w:rFonts w:ascii="Arial" w:eastAsia="Times New Roman" w:hAnsi="Arial" w:cs="Arial"/>
          <w:color w:val="006699"/>
          <w:sz w:val="18"/>
          <w:szCs w:val="18"/>
          <w:lang w:val="en-US" w:eastAsia="fr-FR"/>
        </w:rPr>
        <w:t>148</w:t>
      </w:r>
      <w:bookmarkEnd w:id="148"/>
      <w:r w:rsidRPr="00297478">
        <w:rPr>
          <w:rFonts w:ascii="Arial" w:eastAsia="Times New Roman" w:hAnsi="Arial" w:cs="Arial"/>
          <w:color w:val="000000"/>
          <w:sz w:val="18"/>
          <w:szCs w:val="18"/>
          <w:lang w:val="en-US" w:eastAsia="fr-FR"/>
        </w:rPr>
        <w:t xml:space="preserve">    According to settled case-law, the autonomy of EU law with respect both to the law of the Member States and to international law is justified by the essential characteristics of the European Union and its law, relating in particular to the constitutional structure of the European Union and the very nature of that law. EU law is characterised by the fact that it stems from an independent source of law, the Treaties, by its primacy over the laws of the Member States, and by the direct effect of a whole series of </w:t>
      </w:r>
      <w:proofErr w:type="gramStart"/>
      <w:r w:rsidRPr="00297478">
        <w:rPr>
          <w:rFonts w:ascii="Arial" w:eastAsia="Times New Roman" w:hAnsi="Arial" w:cs="Arial"/>
          <w:color w:val="000000"/>
          <w:sz w:val="18"/>
          <w:szCs w:val="18"/>
          <w:lang w:val="en-US" w:eastAsia="fr-FR"/>
        </w:rPr>
        <w:t>provisions which</w:t>
      </w:r>
      <w:proofErr w:type="gramEnd"/>
      <w:r w:rsidRPr="00297478">
        <w:rPr>
          <w:rFonts w:ascii="Arial" w:eastAsia="Times New Roman" w:hAnsi="Arial" w:cs="Arial"/>
          <w:color w:val="000000"/>
          <w:sz w:val="18"/>
          <w:szCs w:val="18"/>
          <w:lang w:val="en-US" w:eastAsia="fr-FR"/>
        </w:rPr>
        <w:t xml:space="preserve"> are applicable to their nationals and to the Member States themselves. </w:t>
      </w:r>
      <w:proofErr w:type="gramStart"/>
      <w:r w:rsidRPr="00297478">
        <w:rPr>
          <w:rFonts w:ascii="Arial" w:eastAsia="Times New Roman" w:hAnsi="Arial" w:cs="Arial"/>
          <w:color w:val="000000"/>
          <w:sz w:val="18"/>
          <w:szCs w:val="18"/>
          <w:lang w:val="en-US" w:eastAsia="fr-FR"/>
        </w:rPr>
        <w:t>Those characteristics have given rise to a structured network of principles, rules and mutually interdependent legal relations binding the European Union and its Member States reciprocally and binding its Member States to each other (see, to that effect, Opinion 2/13 </w:t>
      </w:r>
      <w:r w:rsidRPr="00297478">
        <w:rPr>
          <w:rFonts w:ascii="Arial" w:eastAsia="Times New Roman" w:hAnsi="Arial" w:cs="Arial"/>
          <w:i/>
          <w:iCs/>
          <w:color w:val="000000"/>
          <w:sz w:val="18"/>
          <w:szCs w:val="18"/>
          <w:lang w:val="en-US" w:eastAsia="fr-FR"/>
        </w:rPr>
        <w:t>(Accession of the European Union to the ECHR)</w:t>
      </w:r>
      <w:r w:rsidRPr="00297478">
        <w:rPr>
          <w:rFonts w:ascii="Arial" w:eastAsia="Times New Roman" w:hAnsi="Arial" w:cs="Arial"/>
          <w:color w:val="000000"/>
          <w:sz w:val="18"/>
          <w:szCs w:val="18"/>
          <w:lang w:val="en-US" w:eastAsia="fr-FR"/>
        </w:rPr>
        <w:t> of 18 December 2014, EU:C:2014:2454, paragraphs 165 to 167 and 201; see also judgment of 6 March 2018, </w:t>
      </w:r>
      <w:r w:rsidRPr="00297478">
        <w:rPr>
          <w:rFonts w:ascii="Arial" w:eastAsia="Times New Roman" w:hAnsi="Arial" w:cs="Arial"/>
          <w:i/>
          <w:iCs/>
          <w:color w:val="000000"/>
          <w:sz w:val="18"/>
          <w:szCs w:val="18"/>
          <w:lang w:val="en-US" w:eastAsia="fr-FR"/>
        </w:rPr>
        <w:t>Achmea</w:t>
      </w:r>
      <w:r w:rsidRPr="00297478">
        <w:rPr>
          <w:rFonts w:ascii="Arial" w:eastAsia="Times New Roman" w:hAnsi="Arial" w:cs="Arial"/>
          <w:color w:val="000000"/>
          <w:sz w:val="18"/>
          <w:szCs w:val="18"/>
          <w:lang w:val="en-US" w:eastAsia="fr-FR"/>
        </w:rPr>
        <w:t>, C</w:t>
      </w:r>
      <w:r w:rsidRPr="00297478">
        <w:rPr>
          <w:rFonts w:ascii="Arial" w:eastAsia="Times New Roman" w:hAnsi="Arial" w:cs="Arial"/>
          <w:color w:val="000000"/>
          <w:sz w:val="18"/>
          <w:szCs w:val="18"/>
          <w:lang w:val="en-US" w:eastAsia="fr-FR"/>
        </w:rPr>
        <w:noBreakHyphen/>
        <w:t>284/16, EU:C:2018:158, paragraph 33 and the case-law cited).</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49" w:name="point149"/>
      <w:proofErr w:type="gramStart"/>
      <w:r w:rsidRPr="00297478">
        <w:rPr>
          <w:rFonts w:ascii="Arial" w:eastAsia="Times New Roman" w:hAnsi="Arial" w:cs="Arial"/>
          <w:color w:val="006699"/>
          <w:sz w:val="18"/>
          <w:szCs w:val="18"/>
          <w:lang w:val="en-US" w:eastAsia="fr-FR"/>
        </w:rPr>
        <w:t>149</w:t>
      </w:r>
      <w:bookmarkEnd w:id="149"/>
      <w:r w:rsidRPr="00297478">
        <w:rPr>
          <w:rFonts w:ascii="Arial" w:eastAsia="Times New Roman" w:hAnsi="Arial" w:cs="Arial"/>
          <w:color w:val="000000"/>
          <w:sz w:val="18"/>
          <w:szCs w:val="18"/>
          <w:lang w:val="en-US" w:eastAsia="fr-FR"/>
        </w:rPr>
        <w:t>    With regard in particular to the rules binding the European Union and its Member States reciprocally, the second paragraph of Article 172 TFEU confers a discretion on the Member State concerned to give or to refuse to give its approval to the inclusion of a project in the Union list of PCIs, as is apparent from the examination of the previous pleas (see, in particular, paragraphs 38 to 40, 45, 56, 110 and 111).</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0" w:name="point150"/>
      <w:r w:rsidRPr="00297478">
        <w:rPr>
          <w:rFonts w:ascii="Arial" w:eastAsia="Times New Roman" w:hAnsi="Arial" w:cs="Arial"/>
          <w:color w:val="006699"/>
          <w:sz w:val="18"/>
          <w:szCs w:val="18"/>
          <w:lang w:val="en-US" w:eastAsia="fr-FR"/>
        </w:rPr>
        <w:t>150</w:t>
      </w:r>
      <w:bookmarkEnd w:id="150"/>
      <w:r w:rsidRPr="00297478">
        <w:rPr>
          <w:rFonts w:ascii="Arial" w:eastAsia="Times New Roman" w:hAnsi="Arial" w:cs="Arial"/>
          <w:color w:val="000000"/>
          <w:sz w:val="18"/>
          <w:szCs w:val="18"/>
          <w:lang w:val="en-US" w:eastAsia="fr-FR"/>
        </w:rPr>
        <w:t xml:space="preserve">    Accordingly, the FEU Treaty has clearly established limits on the competence of the European Union in the field of Union PCIs, since the Commission is prevented from including, in the list of those PCIs, a project </w:t>
      </w:r>
      <w:proofErr w:type="gramStart"/>
      <w:r w:rsidRPr="00297478">
        <w:rPr>
          <w:rFonts w:ascii="Arial" w:eastAsia="Times New Roman" w:hAnsi="Arial" w:cs="Arial"/>
          <w:color w:val="000000"/>
          <w:sz w:val="18"/>
          <w:szCs w:val="18"/>
          <w:lang w:val="en-US" w:eastAsia="fr-FR"/>
        </w:rPr>
        <w:t>which</w:t>
      </w:r>
      <w:proofErr w:type="gramEnd"/>
      <w:r w:rsidRPr="00297478">
        <w:rPr>
          <w:rFonts w:ascii="Arial" w:eastAsia="Times New Roman" w:hAnsi="Arial" w:cs="Arial"/>
          <w:color w:val="000000"/>
          <w:sz w:val="18"/>
          <w:szCs w:val="18"/>
          <w:lang w:val="en-US" w:eastAsia="fr-FR"/>
        </w:rPr>
        <w:t xml:space="preserve"> has not received the approval of the Member State on whose territory the project is to be implemented.</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1" w:name="point151"/>
      <w:proofErr w:type="gramStart"/>
      <w:r w:rsidRPr="00297478">
        <w:rPr>
          <w:rFonts w:ascii="Arial" w:eastAsia="Times New Roman" w:hAnsi="Arial" w:cs="Arial"/>
          <w:color w:val="006699"/>
          <w:sz w:val="18"/>
          <w:szCs w:val="18"/>
          <w:lang w:val="en-US" w:eastAsia="fr-FR"/>
        </w:rPr>
        <w:t>151</w:t>
      </w:r>
      <w:bookmarkEnd w:id="151"/>
      <w:proofErr w:type="gramEnd"/>
      <w:r w:rsidRPr="00297478">
        <w:rPr>
          <w:rFonts w:ascii="Arial" w:eastAsia="Times New Roman" w:hAnsi="Arial" w:cs="Arial"/>
          <w:color w:val="000000"/>
          <w:sz w:val="18"/>
          <w:szCs w:val="18"/>
          <w:lang w:val="en-US" w:eastAsia="fr-FR"/>
        </w:rPr>
        <w:t>    In that regard, the applicants are unsuccessfully attempting to call into question the division of powers between the Member States and the European Union in the field of Union PCIs. In essence, they criticise the Commission for not overruling the French Republic’s refusal to give its approval to the inclusion of the proposed Aquind interconnector in the Union list of PCIs and, consequently, for infringing Article 10 of the Energy Charter Treaty.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2" w:name="point152"/>
      <w:proofErr w:type="gramStart"/>
      <w:r w:rsidRPr="00297478">
        <w:rPr>
          <w:rFonts w:ascii="Arial" w:eastAsia="Times New Roman" w:hAnsi="Arial" w:cs="Arial"/>
          <w:color w:val="006699"/>
          <w:sz w:val="18"/>
          <w:szCs w:val="18"/>
          <w:lang w:val="en-US" w:eastAsia="fr-FR"/>
        </w:rPr>
        <w:t>152</w:t>
      </w:r>
      <w:bookmarkEnd w:id="152"/>
      <w:r w:rsidRPr="00297478">
        <w:rPr>
          <w:rFonts w:ascii="Arial" w:eastAsia="Times New Roman" w:hAnsi="Arial" w:cs="Arial"/>
          <w:color w:val="000000"/>
          <w:sz w:val="18"/>
          <w:szCs w:val="18"/>
          <w:lang w:val="en-US" w:eastAsia="fr-FR"/>
        </w:rPr>
        <w:t>    In view of the autonomy of EU law and the existence of a structured network of principles, rules and mutually interdependent legal relations binding the European Union and its Member States reciprocally, on the one hand, and the existence of a discretionary power of the Member State concerned recognised by EU law, on the other, it must be held that Article 10(1) of the Energy Charter Treaty cannot have a scope such that it obliges the Commission not to take account of the division of powers provided for in the second paragraph of Article 172 TFEU and thus to contravene that provision.</w:t>
      </w:r>
      <w:proofErr w:type="gramEnd"/>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3" w:name="point153"/>
      <w:r w:rsidRPr="00297478">
        <w:rPr>
          <w:rFonts w:ascii="Arial" w:eastAsia="Times New Roman" w:hAnsi="Arial" w:cs="Arial"/>
          <w:color w:val="006699"/>
          <w:sz w:val="18"/>
          <w:szCs w:val="18"/>
          <w:lang w:val="en-US" w:eastAsia="fr-FR"/>
        </w:rPr>
        <w:t>153</w:t>
      </w:r>
      <w:bookmarkEnd w:id="153"/>
      <w:r w:rsidRPr="00297478">
        <w:rPr>
          <w:rFonts w:ascii="Arial" w:eastAsia="Times New Roman" w:hAnsi="Arial" w:cs="Arial"/>
          <w:color w:val="000000"/>
          <w:sz w:val="18"/>
          <w:szCs w:val="18"/>
          <w:lang w:val="en-US" w:eastAsia="fr-FR"/>
        </w:rPr>
        <w:t xml:space="preserve">    The Commission therefore complied with the second paragraph of Article 172 TFEU. </w:t>
      </w:r>
      <w:proofErr w:type="gramStart"/>
      <w:r w:rsidRPr="00297478">
        <w:rPr>
          <w:rFonts w:ascii="Arial" w:eastAsia="Times New Roman" w:hAnsi="Arial" w:cs="Arial"/>
          <w:color w:val="000000"/>
          <w:sz w:val="18"/>
          <w:szCs w:val="18"/>
          <w:lang w:val="en-US" w:eastAsia="fr-FR"/>
        </w:rPr>
        <w:t>Thus</w:t>
      </w:r>
      <w:proofErr w:type="gramEnd"/>
      <w:r w:rsidRPr="00297478">
        <w:rPr>
          <w:rFonts w:ascii="Arial" w:eastAsia="Times New Roman" w:hAnsi="Arial" w:cs="Arial"/>
          <w:color w:val="000000"/>
          <w:sz w:val="18"/>
          <w:szCs w:val="18"/>
          <w:lang w:val="en-US" w:eastAsia="fr-FR"/>
        </w:rPr>
        <w:t xml:space="preserve"> it cannot be alleged that it infringed Article 10(1) of the Energy Charter Treaty.</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4" w:name="point154"/>
      <w:r w:rsidRPr="00297478">
        <w:rPr>
          <w:rFonts w:ascii="Arial" w:eastAsia="Times New Roman" w:hAnsi="Arial" w:cs="Arial"/>
          <w:color w:val="006699"/>
          <w:sz w:val="18"/>
          <w:szCs w:val="18"/>
          <w:lang w:val="en-US" w:eastAsia="fr-FR"/>
        </w:rPr>
        <w:t>154</w:t>
      </w:r>
      <w:bookmarkEnd w:id="154"/>
      <w:r w:rsidRPr="00297478">
        <w:rPr>
          <w:rFonts w:ascii="Arial" w:eastAsia="Times New Roman" w:hAnsi="Arial" w:cs="Arial"/>
          <w:color w:val="000000"/>
          <w:sz w:val="18"/>
          <w:szCs w:val="18"/>
          <w:lang w:val="en-US" w:eastAsia="fr-FR"/>
        </w:rPr>
        <w:t xml:space="preserve">    Consequently, the third plea </w:t>
      </w:r>
      <w:proofErr w:type="gramStart"/>
      <w:r w:rsidRPr="00297478">
        <w:rPr>
          <w:rFonts w:ascii="Arial" w:eastAsia="Times New Roman" w:hAnsi="Arial" w:cs="Arial"/>
          <w:color w:val="000000"/>
          <w:sz w:val="18"/>
          <w:szCs w:val="18"/>
          <w:lang w:val="en-US" w:eastAsia="fr-FR"/>
        </w:rPr>
        <w:t>must be rejected</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bookmarkStart w:id="155" w:name="point155"/>
      <w:r w:rsidRPr="00297478">
        <w:rPr>
          <w:rFonts w:ascii="Arial" w:eastAsia="Times New Roman" w:hAnsi="Arial" w:cs="Arial"/>
          <w:color w:val="006699"/>
          <w:sz w:val="18"/>
          <w:szCs w:val="18"/>
          <w:lang w:val="en-US" w:eastAsia="fr-FR"/>
        </w:rPr>
        <w:t>155</w:t>
      </w:r>
      <w:bookmarkEnd w:id="155"/>
      <w:r w:rsidRPr="00297478">
        <w:rPr>
          <w:rFonts w:ascii="Arial" w:eastAsia="Times New Roman" w:hAnsi="Arial" w:cs="Arial"/>
          <w:color w:val="000000"/>
          <w:sz w:val="18"/>
          <w:szCs w:val="18"/>
          <w:lang w:val="en-US" w:eastAsia="fr-FR"/>
        </w:rPr>
        <w:t xml:space="preserve">    In the light of all the foregoing, the action </w:t>
      </w:r>
      <w:proofErr w:type="gramStart"/>
      <w:r w:rsidRPr="00297478">
        <w:rPr>
          <w:rFonts w:ascii="Arial" w:eastAsia="Times New Roman" w:hAnsi="Arial" w:cs="Arial"/>
          <w:color w:val="000000"/>
          <w:sz w:val="18"/>
          <w:szCs w:val="18"/>
          <w:lang w:val="en-US" w:eastAsia="fr-FR"/>
        </w:rPr>
        <w:t>must be dismissed</w:t>
      </w:r>
      <w:proofErr w:type="gramEnd"/>
      <w:r w:rsidRPr="00297478">
        <w:rPr>
          <w:rFonts w:ascii="Arial" w:eastAsia="Times New Roman" w:hAnsi="Arial" w:cs="Arial"/>
          <w:color w:val="000000"/>
          <w:sz w:val="18"/>
          <w:szCs w:val="18"/>
          <w:lang w:val="en-US" w:eastAsia="fr-FR"/>
        </w:rPr>
        <w:t xml:space="preserve"> in its entirety.</w:t>
      </w:r>
    </w:p>
    <w:p w:rsidR="00297478" w:rsidRPr="00297478" w:rsidRDefault="00297478" w:rsidP="00761F1A">
      <w:pPr>
        <w:spacing w:before="480" w:after="240" w:line="240" w:lineRule="auto"/>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 Costs</w:t>
      </w:r>
    </w:p>
    <w:p w:rsidR="00761F1A" w:rsidRDefault="00297478" w:rsidP="00761F1A">
      <w:pPr>
        <w:spacing w:before="100" w:beforeAutospacing="1" w:after="240" w:line="240" w:lineRule="auto"/>
        <w:ind w:hanging="539"/>
        <w:jc w:val="both"/>
        <w:rPr>
          <w:rFonts w:ascii="Arial" w:eastAsia="Times New Roman" w:hAnsi="Arial" w:cs="Arial"/>
          <w:color w:val="006699"/>
          <w:sz w:val="18"/>
          <w:szCs w:val="18"/>
          <w:lang w:val="en-US" w:eastAsia="fr-FR"/>
        </w:rPr>
      </w:pPr>
      <w:bookmarkStart w:id="156" w:name="point156"/>
      <w:r w:rsidRPr="00297478">
        <w:rPr>
          <w:rFonts w:ascii="Arial" w:eastAsia="Times New Roman" w:hAnsi="Arial" w:cs="Arial"/>
          <w:color w:val="006699"/>
          <w:sz w:val="18"/>
          <w:szCs w:val="18"/>
          <w:lang w:val="en-US" w:eastAsia="fr-FR"/>
        </w:rPr>
        <w:t>156</w:t>
      </w:r>
      <w:bookmarkEnd w:id="156"/>
      <w:r w:rsidRPr="00297478">
        <w:rPr>
          <w:rFonts w:ascii="Arial" w:eastAsia="Times New Roman" w:hAnsi="Arial" w:cs="Arial"/>
          <w:color w:val="000000"/>
          <w:sz w:val="18"/>
          <w:szCs w:val="18"/>
          <w:lang w:val="en-US" w:eastAsia="fr-FR"/>
        </w:rPr>
        <w:t>    Under Article 134(1) of the Rules of Procedure of the General Court, the unsuccessful party is to be ordered to pay the costs if they have been applied for in the successful party’s pleadings.</w:t>
      </w:r>
    </w:p>
    <w:p w:rsidR="00297478" w:rsidRPr="00297478" w:rsidRDefault="00297478" w:rsidP="00761F1A">
      <w:pPr>
        <w:spacing w:before="100" w:beforeAutospacing="1" w:after="240" w:line="240" w:lineRule="auto"/>
        <w:ind w:hanging="539"/>
        <w:jc w:val="both"/>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lastRenderedPageBreak/>
        <w:t xml:space="preserve"> </w:t>
      </w:r>
      <w:proofErr w:type="gramStart"/>
      <w:r w:rsidRPr="00297478">
        <w:rPr>
          <w:rFonts w:ascii="Arial" w:eastAsia="Times New Roman" w:hAnsi="Arial" w:cs="Arial"/>
          <w:color w:val="000000"/>
          <w:sz w:val="18"/>
          <w:szCs w:val="18"/>
          <w:lang w:val="en-US" w:eastAsia="fr-FR"/>
        </w:rPr>
        <w:t>unsuccessful</w:t>
      </w:r>
      <w:proofErr w:type="gramEnd"/>
      <w:r w:rsidRPr="00297478">
        <w:rPr>
          <w:rFonts w:ascii="Arial" w:eastAsia="Times New Roman" w:hAnsi="Arial" w:cs="Arial"/>
          <w:color w:val="000000"/>
          <w:sz w:val="18"/>
          <w:szCs w:val="18"/>
          <w:lang w:val="en-US" w:eastAsia="fr-FR"/>
        </w:rPr>
        <w:t>, they must be ordered to bear their own costs and to pay those of the Commission, in accordance with the latter’s pleadings.</w:t>
      </w:r>
    </w:p>
    <w:p w:rsidR="00297478" w:rsidRPr="00297478" w:rsidRDefault="00297478" w:rsidP="00761F1A">
      <w:pPr>
        <w:spacing w:before="100" w:beforeAutospacing="1" w:after="100" w:afterAutospacing="1" w:line="240" w:lineRule="auto"/>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On those grounds,</w:t>
      </w:r>
    </w:p>
    <w:p w:rsidR="00297478" w:rsidRPr="00297478" w:rsidRDefault="00297478" w:rsidP="00761F1A">
      <w:pPr>
        <w:spacing w:after="240" w:line="240" w:lineRule="auto"/>
        <w:jc w:val="center"/>
        <w:rPr>
          <w:rFonts w:ascii="Arial" w:eastAsia="Times New Roman" w:hAnsi="Arial" w:cs="Arial"/>
          <w:color w:val="000000"/>
          <w:sz w:val="18"/>
          <w:szCs w:val="18"/>
          <w:lang w:val="en-US" w:eastAsia="fr-FR"/>
        </w:rPr>
      </w:pPr>
      <w:r w:rsidRPr="00297478">
        <w:rPr>
          <w:rFonts w:ascii="Arial" w:eastAsia="Times New Roman" w:hAnsi="Arial" w:cs="Arial"/>
          <w:color w:val="000000"/>
          <w:sz w:val="18"/>
          <w:szCs w:val="18"/>
          <w:lang w:val="en-US" w:eastAsia="fr-FR"/>
        </w:rPr>
        <w:t>THE GENERAL COURT (Second Chamber)</w:t>
      </w:r>
    </w:p>
    <w:p w:rsidR="00297478" w:rsidRPr="00297478" w:rsidRDefault="00297478" w:rsidP="00761F1A">
      <w:pPr>
        <w:spacing w:after="240" w:line="240" w:lineRule="auto"/>
        <w:jc w:val="both"/>
        <w:rPr>
          <w:rFonts w:ascii="Arial" w:eastAsia="Times New Roman" w:hAnsi="Arial" w:cs="Arial"/>
          <w:color w:val="000000"/>
          <w:sz w:val="18"/>
          <w:szCs w:val="18"/>
          <w:lang w:val="en-US" w:eastAsia="fr-FR"/>
        </w:rPr>
      </w:pPr>
      <w:proofErr w:type="gramStart"/>
      <w:r w:rsidRPr="00297478">
        <w:rPr>
          <w:rFonts w:ascii="Arial" w:eastAsia="Times New Roman" w:hAnsi="Arial" w:cs="Arial"/>
          <w:color w:val="000000"/>
          <w:sz w:val="18"/>
          <w:szCs w:val="18"/>
          <w:lang w:val="en-US" w:eastAsia="fr-FR"/>
        </w:rPr>
        <w:t>hereby</w:t>
      </w:r>
      <w:proofErr w:type="gramEnd"/>
      <w:r w:rsidRPr="00297478">
        <w:rPr>
          <w:rFonts w:ascii="Arial" w:eastAsia="Times New Roman" w:hAnsi="Arial" w:cs="Arial"/>
          <w:color w:val="000000"/>
          <w:sz w:val="18"/>
          <w:szCs w:val="18"/>
          <w:lang w:val="en-US" w:eastAsia="fr-FR"/>
        </w:rPr>
        <w:t>:</w:t>
      </w:r>
    </w:p>
    <w:p w:rsidR="00297478" w:rsidRPr="00297478" w:rsidRDefault="00297478"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1.      </w:t>
      </w:r>
      <w:proofErr w:type="gramStart"/>
      <w:r w:rsidRPr="00297478">
        <w:rPr>
          <w:rFonts w:ascii="Arial" w:eastAsia="Times New Roman" w:hAnsi="Arial" w:cs="Arial"/>
          <w:b/>
          <w:bCs/>
          <w:color w:val="000000"/>
          <w:sz w:val="18"/>
          <w:szCs w:val="18"/>
          <w:lang w:val="en-US" w:eastAsia="fr-FR"/>
        </w:rPr>
        <w:t>Dismisses</w:t>
      </w:r>
      <w:proofErr w:type="gramEnd"/>
      <w:r w:rsidRPr="00297478">
        <w:rPr>
          <w:rFonts w:ascii="Arial" w:eastAsia="Times New Roman" w:hAnsi="Arial" w:cs="Arial"/>
          <w:b/>
          <w:bCs/>
          <w:color w:val="000000"/>
          <w:sz w:val="18"/>
          <w:szCs w:val="18"/>
          <w:lang w:val="en-US" w:eastAsia="fr-FR"/>
        </w:rPr>
        <w:t xml:space="preserve"> the action;</w:t>
      </w:r>
    </w:p>
    <w:p w:rsidR="00297478" w:rsidRPr="00297478" w:rsidRDefault="00297478"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2.      Orders Aquind Ltd, Aquind SAS and Aquind Energy Sàrl to pay the costs;</w:t>
      </w:r>
    </w:p>
    <w:p w:rsidR="00297478" w:rsidRPr="00297478" w:rsidRDefault="00297478" w:rsidP="00761F1A">
      <w:pPr>
        <w:spacing w:before="100" w:beforeAutospacing="1" w:after="240" w:line="240" w:lineRule="auto"/>
        <w:ind w:hanging="567"/>
        <w:jc w:val="both"/>
        <w:rPr>
          <w:rFonts w:ascii="Arial" w:eastAsia="Times New Roman" w:hAnsi="Arial" w:cs="Arial"/>
          <w:b/>
          <w:bCs/>
          <w:color w:val="000000"/>
          <w:sz w:val="18"/>
          <w:szCs w:val="18"/>
          <w:lang w:val="en-US" w:eastAsia="fr-FR"/>
        </w:rPr>
      </w:pPr>
      <w:r w:rsidRPr="00297478">
        <w:rPr>
          <w:rFonts w:ascii="Arial" w:eastAsia="Times New Roman" w:hAnsi="Arial" w:cs="Arial"/>
          <w:b/>
          <w:bCs/>
          <w:color w:val="000000"/>
          <w:sz w:val="18"/>
          <w:szCs w:val="18"/>
          <w:lang w:val="en-US" w:eastAsia="fr-FR"/>
        </w:rPr>
        <w:t>3.      Orders the Federal Republic of Germany, the Kingdom of Spain and the French Republic eac</w:t>
      </w:r>
    </w:p>
    <w:p w:rsidR="00297478" w:rsidRDefault="00297478" w:rsidP="00E23D27">
      <w:pPr>
        <w:rPr>
          <w:b/>
          <w:sz w:val="24"/>
          <w:szCs w:val="24"/>
          <w:lang w:val="en-US"/>
        </w:rPr>
      </w:pPr>
    </w:p>
    <w:p w:rsidR="00297478" w:rsidRPr="00297478" w:rsidRDefault="00297478" w:rsidP="00E23D27">
      <w:pPr>
        <w:rPr>
          <w:b/>
          <w:sz w:val="24"/>
          <w:szCs w:val="24"/>
          <w:lang w:val="en-US"/>
        </w:rPr>
      </w:pPr>
    </w:p>
    <w:sectPr w:rsidR="00297478" w:rsidRPr="00297478" w:rsidSect="002E2E65">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78" w:rsidRDefault="00297478">
      <w:pPr>
        <w:spacing w:after="0" w:line="240" w:lineRule="auto"/>
      </w:pPr>
      <w:r>
        <w:separator/>
      </w:r>
    </w:p>
  </w:endnote>
  <w:endnote w:type="continuationSeparator" w:id="0">
    <w:p w:rsidR="00297478" w:rsidRDefault="0029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525948"/>
      <w:docPartObj>
        <w:docPartGallery w:val="Page Numbers (Bottom of Page)"/>
        <w:docPartUnique/>
      </w:docPartObj>
    </w:sdtPr>
    <w:sdtContent>
      <w:p w:rsidR="00761F1A" w:rsidRDefault="00761F1A">
        <w:pPr>
          <w:pStyle w:val="Pieddepage"/>
          <w:jc w:val="center"/>
        </w:pPr>
        <w:r>
          <w:fldChar w:fldCharType="begin"/>
        </w:r>
        <w:r>
          <w:instrText>PAGE   \* MERGEFORMAT</w:instrText>
        </w:r>
        <w:r>
          <w:fldChar w:fldCharType="separate"/>
        </w:r>
        <w:r w:rsidR="00D27C47">
          <w:rPr>
            <w:noProof/>
          </w:rPr>
          <w:t>2</w:t>
        </w:r>
        <w:r>
          <w:fldChar w:fldCharType="end"/>
        </w:r>
      </w:p>
    </w:sdtContent>
  </w:sdt>
  <w:p w:rsidR="00761F1A" w:rsidRDefault="00761F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78" w:rsidRDefault="00297478">
      <w:pPr>
        <w:spacing w:after="0" w:line="240" w:lineRule="auto"/>
      </w:pPr>
      <w:r>
        <w:separator/>
      </w:r>
    </w:p>
  </w:footnote>
  <w:footnote w:type="continuationSeparator" w:id="0">
    <w:p w:rsidR="00297478" w:rsidRDefault="0029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78" w:rsidRDefault="00297478">
    <w:pPr>
      <w:pStyle w:val="Corpsdetexte"/>
      <w:spacing w:line="14" w:lineRule="auto"/>
      <w:rPr>
        <w:sz w:val="20"/>
      </w:rPr>
    </w:pPr>
    <w:r>
      <w:rPr>
        <w:noProof/>
        <w:lang w:val="fr-FR" w:eastAsia="fr-FR"/>
      </w:rPr>
      <mc:AlternateContent>
        <mc:Choice Requires="wps">
          <w:drawing>
            <wp:anchor distT="0" distB="0" distL="114300" distR="114300" simplePos="0" relativeHeight="251659264" behindDoc="1" locked="0" layoutInCell="1" allowOverlap="1" wp14:anchorId="2AB83814" wp14:editId="784C2EDB">
              <wp:simplePos x="0" y="0"/>
              <wp:positionH relativeFrom="page">
                <wp:posOffset>3678555</wp:posOffset>
              </wp:positionH>
              <wp:positionV relativeFrom="page">
                <wp:posOffset>426085</wp:posOffset>
              </wp:positionV>
              <wp:extent cx="205740" cy="222885"/>
              <wp:effectExtent l="1905" t="0" r="190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478" w:rsidRDefault="00297478">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3814" id="_x0000_t202" coordsize="21600,21600" o:spt="202" path="m,l,21600r21600,l21600,xe">
              <v:stroke joinstyle="miter"/>
              <v:path gradientshapeok="t" o:connecttype="rect"/>
            </v:shapetype>
            <v:shape id="Zone de texte 13" o:spid="_x0000_s1026" type="#_x0000_t202" style="position:absolute;margin-left:289.65pt;margin-top:33.55pt;width:16.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" filled="f" stroked="f">
              <v:textbox inset="0,0,0,0">
                <w:txbxContent>
                  <w:p w:rsidR="00297478" w:rsidRDefault="00297478">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0D55"/>
    <w:multiLevelType w:val="hybridMultilevel"/>
    <w:tmpl w:val="6E1464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CA659A5"/>
    <w:multiLevelType w:val="hybridMultilevel"/>
    <w:tmpl w:val="ADD2ED12"/>
    <w:lvl w:ilvl="0" w:tplc="6194D61C">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707AC"/>
    <w:multiLevelType w:val="hybridMultilevel"/>
    <w:tmpl w:val="E39C8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E54CFB"/>
    <w:multiLevelType w:val="hybridMultilevel"/>
    <w:tmpl w:val="0F72D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F4318F"/>
    <w:multiLevelType w:val="hybridMultilevel"/>
    <w:tmpl w:val="CBF87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CC"/>
    <w:rsid w:val="00297478"/>
    <w:rsid w:val="002E2E65"/>
    <w:rsid w:val="00411AD7"/>
    <w:rsid w:val="00761F1A"/>
    <w:rsid w:val="00772A93"/>
    <w:rsid w:val="00797B81"/>
    <w:rsid w:val="00891EE8"/>
    <w:rsid w:val="00AE47CC"/>
    <w:rsid w:val="00C9365D"/>
    <w:rsid w:val="00D27C47"/>
    <w:rsid w:val="00DF6CDB"/>
    <w:rsid w:val="00E23D27"/>
    <w:rsid w:val="00F56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5A6E"/>
  <w15:chartTrackingRefBased/>
  <w15:docId w15:val="{5E27A569-E43F-4146-A332-B9A7F70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C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47CC"/>
    <w:rPr>
      <w:color w:val="0563C1" w:themeColor="hyperlink"/>
      <w:u w:val="single"/>
    </w:rPr>
  </w:style>
  <w:style w:type="paragraph" w:styleId="Corpsdetexte">
    <w:name w:val="Body Text"/>
    <w:basedOn w:val="Normal"/>
    <w:link w:val="CorpsdetexteCar"/>
    <w:uiPriority w:val="1"/>
    <w:qFormat/>
    <w:rsid w:val="00AE47CC"/>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sdetexteCar">
    <w:name w:val="Corps de texte Car"/>
    <w:basedOn w:val="Policepardfaut"/>
    <w:link w:val="Corpsdetexte"/>
    <w:uiPriority w:val="1"/>
    <w:rsid w:val="00AE47CC"/>
    <w:rPr>
      <w:rFonts w:ascii="Times New Roman" w:eastAsia="Times New Roman" w:hAnsi="Times New Roman" w:cs="Times New Roman"/>
      <w:sz w:val="28"/>
      <w:szCs w:val="28"/>
      <w:lang w:val="en-US"/>
    </w:rPr>
  </w:style>
  <w:style w:type="paragraph" w:styleId="Paragraphedeliste">
    <w:name w:val="List Paragraph"/>
    <w:basedOn w:val="Normal"/>
    <w:uiPriority w:val="1"/>
    <w:qFormat/>
    <w:rsid w:val="00AE47CC"/>
    <w:pPr>
      <w:widowControl w:val="0"/>
      <w:autoSpaceDE w:val="0"/>
      <w:autoSpaceDN w:val="0"/>
      <w:spacing w:before="81" w:after="0" w:line="240" w:lineRule="auto"/>
      <w:ind w:left="629" w:right="114" w:hanging="511"/>
      <w:jc w:val="both"/>
    </w:pPr>
    <w:rPr>
      <w:rFonts w:ascii="Times New Roman" w:eastAsia="Times New Roman" w:hAnsi="Times New Roman" w:cs="Times New Roman"/>
      <w:lang w:val="en-US"/>
    </w:rPr>
  </w:style>
  <w:style w:type="paragraph" w:styleId="NormalWeb">
    <w:name w:val="Normal (Web)"/>
    <w:basedOn w:val="Normal"/>
    <w:uiPriority w:val="99"/>
    <w:semiHidden/>
    <w:unhideWhenUsed/>
    <w:rsid w:val="002E2E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bold">
    <w:name w:val="title-bold"/>
    <w:basedOn w:val="Normal"/>
    <w:rsid w:val="00411A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61F1A"/>
    <w:pPr>
      <w:tabs>
        <w:tab w:val="center" w:pos="4536"/>
        <w:tab w:val="right" w:pos="9072"/>
      </w:tabs>
      <w:spacing w:after="0" w:line="240" w:lineRule="auto"/>
    </w:pPr>
  </w:style>
  <w:style w:type="character" w:customStyle="1" w:styleId="En-tteCar">
    <w:name w:val="En-tête Car"/>
    <w:basedOn w:val="Policepardfaut"/>
    <w:link w:val="En-tte"/>
    <w:uiPriority w:val="99"/>
    <w:rsid w:val="00761F1A"/>
  </w:style>
  <w:style w:type="paragraph" w:styleId="Pieddepage">
    <w:name w:val="footer"/>
    <w:basedOn w:val="Normal"/>
    <w:link w:val="PieddepageCar"/>
    <w:uiPriority w:val="99"/>
    <w:unhideWhenUsed/>
    <w:rsid w:val="00761F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8702">
      <w:bodyDiv w:val="1"/>
      <w:marLeft w:val="0"/>
      <w:marRight w:val="0"/>
      <w:marTop w:val="0"/>
      <w:marBottom w:val="0"/>
      <w:divBdr>
        <w:top w:val="none" w:sz="0" w:space="0" w:color="auto"/>
        <w:left w:val="none" w:sz="0" w:space="0" w:color="auto"/>
        <w:bottom w:val="none" w:sz="0" w:space="0" w:color="auto"/>
        <w:right w:val="none" w:sz="0" w:space="0" w:color="auto"/>
      </w:divBdr>
    </w:div>
    <w:div w:id="977221617">
      <w:bodyDiv w:val="1"/>
      <w:marLeft w:val="0"/>
      <w:marRight w:val="0"/>
      <w:marTop w:val="0"/>
      <w:marBottom w:val="0"/>
      <w:divBdr>
        <w:top w:val="none" w:sz="0" w:space="0" w:color="auto"/>
        <w:left w:val="none" w:sz="0" w:space="0" w:color="auto"/>
        <w:bottom w:val="none" w:sz="0" w:space="0" w:color="auto"/>
        <w:right w:val="none" w:sz="0" w:space="0" w:color="auto"/>
      </w:divBdr>
    </w:div>
    <w:div w:id="1126655674">
      <w:bodyDiv w:val="1"/>
      <w:marLeft w:val="0"/>
      <w:marRight w:val="0"/>
      <w:marTop w:val="0"/>
      <w:marBottom w:val="0"/>
      <w:divBdr>
        <w:top w:val="none" w:sz="0" w:space="0" w:color="auto"/>
        <w:left w:val="none" w:sz="0" w:space="0" w:color="auto"/>
        <w:bottom w:val="none" w:sz="0" w:space="0" w:color="auto"/>
        <w:right w:val="none" w:sz="0" w:space="0" w:color="auto"/>
      </w:divBdr>
    </w:div>
    <w:div w:id="1144154811">
      <w:bodyDiv w:val="1"/>
      <w:marLeft w:val="0"/>
      <w:marRight w:val="0"/>
      <w:marTop w:val="0"/>
      <w:marBottom w:val="0"/>
      <w:divBdr>
        <w:top w:val="none" w:sz="0" w:space="0" w:color="auto"/>
        <w:left w:val="none" w:sz="0" w:space="0" w:color="auto"/>
        <w:bottom w:val="none" w:sz="0" w:space="0" w:color="auto"/>
        <w:right w:val="none" w:sz="0" w:space="0" w:color="auto"/>
      </w:divBdr>
    </w:div>
    <w:div w:id="1340816462">
      <w:bodyDiv w:val="1"/>
      <w:marLeft w:val="0"/>
      <w:marRight w:val="0"/>
      <w:marTop w:val="0"/>
      <w:marBottom w:val="0"/>
      <w:divBdr>
        <w:top w:val="none" w:sz="0" w:space="0" w:color="auto"/>
        <w:left w:val="none" w:sz="0" w:space="0" w:color="auto"/>
        <w:bottom w:val="none" w:sz="0" w:space="0" w:color="auto"/>
        <w:right w:val="none" w:sz="0" w:space="0" w:color="auto"/>
      </w:divBdr>
    </w:div>
    <w:div w:id="1831942077">
      <w:bodyDiv w:val="1"/>
      <w:marLeft w:val="0"/>
      <w:marRight w:val="0"/>
      <w:marTop w:val="0"/>
      <w:marBottom w:val="0"/>
      <w:divBdr>
        <w:top w:val="none" w:sz="0" w:space="0" w:color="auto"/>
        <w:left w:val="none" w:sz="0" w:space="0" w:color="auto"/>
        <w:bottom w:val="none" w:sz="0" w:space="0" w:color="auto"/>
        <w:right w:val="none" w:sz="0" w:space="0" w:color="auto"/>
      </w:divBdr>
    </w:div>
    <w:div w:id="19905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OM%3A2022%3A230%3AFIN&amp;qid=16530337424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summary/chapter/1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EN/TXT/?uri=CELEX%3A52020DC07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38</Pages>
  <Words>27643</Words>
  <Characters>148444</Characters>
  <Application>Microsoft Office Word</Application>
  <DocSecurity>0</DocSecurity>
  <Lines>2090</Lines>
  <Paragraphs>304</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175783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DELAROSA</dc:creator>
  <cp:keywords/>
  <dc:description/>
  <cp:lastModifiedBy>DELAROSA</cp:lastModifiedBy>
  <cp:revision>4</cp:revision>
  <dcterms:created xsi:type="dcterms:W3CDTF">2023-09-22T14:32:00Z</dcterms:created>
  <dcterms:modified xsi:type="dcterms:W3CDTF">2023-09-24T13:12:00Z</dcterms:modified>
</cp:coreProperties>
</file>