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27" w:rsidRPr="006E1CC5" w:rsidRDefault="00E23D27" w:rsidP="00E23D27">
      <w:pPr>
        <w:jc w:val="center"/>
        <w:rPr>
          <w:b/>
          <w:sz w:val="24"/>
          <w:szCs w:val="24"/>
        </w:rPr>
      </w:pPr>
      <w:proofErr w:type="spellStart"/>
      <w:r w:rsidRPr="006E1CC5">
        <w:rPr>
          <w:b/>
          <w:sz w:val="24"/>
          <w:szCs w:val="24"/>
        </w:rPr>
        <w:t>European</w:t>
      </w:r>
      <w:proofErr w:type="spellEnd"/>
      <w:r w:rsidRPr="006E1CC5">
        <w:rPr>
          <w:b/>
          <w:sz w:val="24"/>
          <w:szCs w:val="24"/>
        </w:rPr>
        <w:t xml:space="preserve"> </w:t>
      </w:r>
      <w:proofErr w:type="spellStart"/>
      <w:r w:rsidRPr="006E1CC5">
        <w:rPr>
          <w:b/>
          <w:sz w:val="24"/>
          <w:szCs w:val="24"/>
        </w:rPr>
        <w:t>Economic</w:t>
      </w:r>
      <w:proofErr w:type="spellEnd"/>
      <w:r w:rsidRPr="006E1CC5">
        <w:rPr>
          <w:b/>
          <w:sz w:val="24"/>
          <w:szCs w:val="24"/>
        </w:rPr>
        <w:t xml:space="preserve"> </w:t>
      </w:r>
      <w:proofErr w:type="spellStart"/>
      <w:r w:rsidRPr="006E1CC5">
        <w:rPr>
          <w:b/>
          <w:sz w:val="24"/>
          <w:szCs w:val="24"/>
        </w:rPr>
        <w:t>Regulation</w:t>
      </w:r>
      <w:proofErr w:type="spellEnd"/>
      <w:r w:rsidRPr="006E1CC5">
        <w:rPr>
          <w:b/>
          <w:sz w:val="24"/>
          <w:szCs w:val="24"/>
        </w:rPr>
        <w:t xml:space="preserve"> Law – M2 Droit européen / </w:t>
      </w:r>
      <w:proofErr w:type="spellStart"/>
      <w:r w:rsidRPr="006E1CC5">
        <w:rPr>
          <w:b/>
          <w:sz w:val="24"/>
          <w:szCs w:val="24"/>
        </w:rPr>
        <w:t>European</w:t>
      </w:r>
      <w:proofErr w:type="spellEnd"/>
      <w:r w:rsidRPr="006E1CC5">
        <w:rPr>
          <w:b/>
          <w:sz w:val="24"/>
          <w:szCs w:val="24"/>
        </w:rPr>
        <w:t xml:space="preserve"> Law</w:t>
      </w:r>
    </w:p>
    <w:p w:rsidR="00E23D27" w:rsidRPr="00E23D27" w:rsidRDefault="00E23D27" w:rsidP="00E23D27">
      <w:pPr>
        <w:jc w:val="center"/>
        <w:rPr>
          <w:b/>
          <w:sz w:val="24"/>
          <w:szCs w:val="24"/>
          <w:lang w:val="en-US"/>
        </w:rPr>
      </w:pPr>
      <w:r w:rsidRPr="00E23D27">
        <w:rPr>
          <w:b/>
          <w:sz w:val="24"/>
          <w:szCs w:val="24"/>
          <w:lang w:val="en-US"/>
        </w:rPr>
        <w:t>Pr. S. de La Rosa – 2023/2023</w:t>
      </w:r>
    </w:p>
    <w:p w:rsidR="00E23D27" w:rsidRPr="00E23D27" w:rsidRDefault="00E23D27" w:rsidP="00AE47CC">
      <w:pPr>
        <w:jc w:val="center"/>
        <w:rPr>
          <w:b/>
          <w:sz w:val="24"/>
          <w:szCs w:val="24"/>
          <w:u w:val="single"/>
          <w:lang w:val="en-US"/>
        </w:rPr>
      </w:pPr>
    </w:p>
    <w:p w:rsidR="00E23D27" w:rsidRPr="00E23D27" w:rsidRDefault="00E23D27" w:rsidP="00AE47CC">
      <w:pPr>
        <w:jc w:val="center"/>
        <w:rPr>
          <w:b/>
          <w:sz w:val="24"/>
          <w:szCs w:val="24"/>
          <w:u w:val="single"/>
          <w:lang w:val="en-US"/>
        </w:rPr>
      </w:pPr>
    </w:p>
    <w:p w:rsidR="00AE47CC" w:rsidRDefault="00E23D27" w:rsidP="00AE47CC">
      <w:pPr>
        <w:jc w:val="center"/>
        <w:rPr>
          <w:b/>
          <w:sz w:val="24"/>
          <w:szCs w:val="24"/>
          <w:u w:val="single"/>
          <w:lang w:val="en-US"/>
        </w:rPr>
      </w:pPr>
      <w:r>
        <w:rPr>
          <w:b/>
          <w:sz w:val="24"/>
          <w:szCs w:val="24"/>
          <w:u w:val="single"/>
          <w:lang w:val="en-US"/>
        </w:rPr>
        <w:t>Chapter</w:t>
      </w:r>
      <w:r w:rsidR="00AE47CC">
        <w:rPr>
          <w:b/>
          <w:sz w:val="24"/>
          <w:szCs w:val="24"/>
          <w:u w:val="single"/>
          <w:lang w:val="en-US"/>
        </w:rPr>
        <w:t xml:space="preserve"> 2. - </w:t>
      </w:r>
      <w:r w:rsidRPr="00B50D4C">
        <w:rPr>
          <w:b/>
          <w:smallCaps/>
          <w:sz w:val="24"/>
          <w:szCs w:val="24"/>
          <w:lang w:val="en-US"/>
        </w:rPr>
        <w:t xml:space="preserve">Network industries within the framework and EU economic </w:t>
      </w:r>
      <w:proofErr w:type="gramStart"/>
      <w:r w:rsidRPr="00B50D4C">
        <w:rPr>
          <w:b/>
          <w:smallCaps/>
          <w:sz w:val="24"/>
          <w:szCs w:val="24"/>
          <w:lang w:val="en-US"/>
        </w:rPr>
        <w:t>law</w:t>
      </w:r>
      <w:r>
        <w:rPr>
          <w:b/>
          <w:smallCaps/>
          <w:lang w:val="en-US"/>
        </w:rPr>
        <w:t xml:space="preserve"> </w:t>
      </w:r>
      <w:r w:rsidRPr="00B50D4C">
        <w:rPr>
          <w:b/>
          <w:smallCaps/>
          <w:lang w:val="en-US"/>
        </w:rPr>
        <w:t xml:space="preserve"> </w:t>
      </w:r>
      <w:r w:rsidR="00797B81">
        <w:rPr>
          <w:b/>
          <w:smallCaps/>
          <w:lang w:val="en-US"/>
        </w:rPr>
        <w:t>-</w:t>
      </w:r>
      <w:proofErr w:type="gramEnd"/>
      <w:r w:rsidR="00797B81">
        <w:rPr>
          <w:b/>
          <w:smallCaps/>
          <w:lang w:val="en-US"/>
        </w:rPr>
        <w:t xml:space="preserve"> Competition law </w:t>
      </w:r>
      <w:bookmarkStart w:id="0" w:name="_GoBack"/>
      <w:bookmarkEnd w:id="0"/>
      <w:r w:rsidR="00797B81">
        <w:rPr>
          <w:b/>
          <w:smallCaps/>
          <w:lang w:val="en-US"/>
        </w:rPr>
        <w:t xml:space="preserve">and public procurement </w:t>
      </w:r>
    </w:p>
    <w:p w:rsidR="00AE47CC" w:rsidRPr="00285D54" w:rsidRDefault="00AE47CC" w:rsidP="00AE47CC">
      <w:pPr>
        <w:jc w:val="center"/>
        <w:rPr>
          <w:b/>
          <w:sz w:val="24"/>
          <w:szCs w:val="24"/>
          <w:u w:val="single"/>
          <w:lang w:val="en-US"/>
        </w:rPr>
      </w:pPr>
    </w:p>
    <w:p w:rsidR="00AE47CC" w:rsidRDefault="00AE47CC" w:rsidP="00AE47CC">
      <w:pPr>
        <w:pStyle w:val="Paragraphedeliste"/>
        <w:numPr>
          <w:ilvl w:val="0"/>
          <w:numId w:val="2"/>
        </w:numPr>
        <w:rPr>
          <w:b/>
          <w:sz w:val="24"/>
          <w:szCs w:val="24"/>
        </w:rPr>
      </w:pPr>
      <w:r w:rsidRPr="00285D54">
        <w:rPr>
          <w:b/>
          <w:sz w:val="24"/>
          <w:szCs w:val="24"/>
        </w:rPr>
        <w:t xml:space="preserve">Main topics </w:t>
      </w:r>
    </w:p>
    <w:p w:rsidR="00AE47CC" w:rsidRPr="005E3733" w:rsidRDefault="00AE47CC" w:rsidP="00AE47CC">
      <w:pPr>
        <w:pStyle w:val="Paragraphedeliste"/>
        <w:numPr>
          <w:ilvl w:val="0"/>
          <w:numId w:val="1"/>
        </w:numPr>
        <w:rPr>
          <w:rFonts w:asciiTheme="minorHAnsi" w:hAnsiTheme="minorHAnsi"/>
          <w:sz w:val="24"/>
          <w:szCs w:val="24"/>
        </w:rPr>
      </w:pPr>
      <w:r w:rsidRPr="005E3733">
        <w:rPr>
          <w:rFonts w:asciiTheme="minorHAnsi" w:hAnsiTheme="minorHAnsi"/>
          <w:sz w:val="24"/>
          <w:szCs w:val="24"/>
        </w:rPr>
        <w:t>Articulation with regulation 1/2003</w:t>
      </w:r>
    </w:p>
    <w:p w:rsidR="00AE47CC" w:rsidRPr="005E3733" w:rsidRDefault="00AE47CC" w:rsidP="00AE47CC">
      <w:pPr>
        <w:pStyle w:val="Paragraphedeliste"/>
        <w:numPr>
          <w:ilvl w:val="0"/>
          <w:numId w:val="1"/>
        </w:numPr>
        <w:rPr>
          <w:rFonts w:asciiTheme="minorHAnsi" w:hAnsiTheme="minorHAnsi"/>
          <w:sz w:val="24"/>
          <w:szCs w:val="24"/>
        </w:rPr>
      </w:pPr>
      <w:r w:rsidRPr="005E3733">
        <w:rPr>
          <w:rFonts w:asciiTheme="minorHAnsi" w:hAnsiTheme="minorHAnsi"/>
          <w:sz w:val="24"/>
          <w:szCs w:val="24"/>
        </w:rPr>
        <w:t>Network industries and abuse of dominant posi</w:t>
      </w:r>
      <w:r>
        <w:rPr>
          <w:rFonts w:asciiTheme="minorHAnsi" w:hAnsiTheme="minorHAnsi"/>
          <w:sz w:val="24"/>
          <w:szCs w:val="24"/>
        </w:rPr>
        <w:t xml:space="preserve">tion: </w:t>
      </w:r>
    </w:p>
    <w:p w:rsidR="00AE47CC" w:rsidRDefault="00AE47CC" w:rsidP="00AE47CC">
      <w:pPr>
        <w:pStyle w:val="Paragraphedeliste"/>
        <w:numPr>
          <w:ilvl w:val="0"/>
          <w:numId w:val="1"/>
        </w:numPr>
        <w:rPr>
          <w:rFonts w:asciiTheme="minorHAnsi" w:hAnsiTheme="minorHAnsi"/>
          <w:sz w:val="24"/>
          <w:szCs w:val="24"/>
        </w:rPr>
      </w:pPr>
      <w:r w:rsidRPr="005E3733">
        <w:rPr>
          <w:rFonts w:asciiTheme="minorHAnsi" w:hAnsiTheme="minorHAnsi"/>
          <w:sz w:val="24"/>
          <w:szCs w:val="24"/>
        </w:rPr>
        <w:t xml:space="preserve">Network industries and special and exclusive rights </w:t>
      </w:r>
      <w:r>
        <w:rPr>
          <w:rFonts w:asciiTheme="minorHAnsi" w:hAnsiTheme="minorHAnsi"/>
          <w:sz w:val="24"/>
          <w:szCs w:val="24"/>
        </w:rPr>
        <w:t>: directive 2014/17</w:t>
      </w:r>
      <w:r w:rsidR="002E2E65">
        <w:rPr>
          <w:rFonts w:asciiTheme="minorHAnsi" w:hAnsiTheme="minorHAnsi"/>
          <w:sz w:val="24"/>
          <w:szCs w:val="24"/>
        </w:rPr>
        <w:t xml:space="preserve"> and procurement procedure </w:t>
      </w:r>
    </w:p>
    <w:p w:rsidR="002E2E65" w:rsidRDefault="002E2E65" w:rsidP="002E2E65">
      <w:pPr>
        <w:pStyle w:val="Paragraphedeliste"/>
        <w:ind w:left="720" w:firstLine="0"/>
        <w:rPr>
          <w:rFonts w:asciiTheme="minorHAnsi" w:hAnsiTheme="minorHAnsi"/>
          <w:sz w:val="24"/>
          <w:szCs w:val="24"/>
        </w:rPr>
      </w:pPr>
    </w:p>
    <w:p w:rsidR="002E2E65" w:rsidRDefault="002E2E65" w:rsidP="002E2E65">
      <w:pPr>
        <w:pStyle w:val="Paragraphedeliste"/>
        <w:numPr>
          <w:ilvl w:val="0"/>
          <w:numId w:val="4"/>
        </w:numPr>
        <w:ind w:left="709"/>
        <w:rPr>
          <w:rFonts w:asciiTheme="minorHAnsi" w:hAnsiTheme="minorHAnsi"/>
          <w:b/>
          <w:sz w:val="24"/>
          <w:szCs w:val="24"/>
        </w:rPr>
      </w:pPr>
      <w:r w:rsidRPr="002E2E65">
        <w:rPr>
          <w:rFonts w:asciiTheme="minorHAnsi" w:hAnsiTheme="minorHAnsi"/>
          <w:b/>
          <w:sz w:val="24"/>
          <w:szCs w:val="24"/>
        </w:rPr>
        <w:t xml:space="preserve">Useful cases </w:t>
      </w:r>
      <w:r>
        <w:rPr>
          <w:rFonts w:asciiTheme="minorHAnsi" w:hAnsiTheme="minorHAnsi"/>
          <w:b/>
          <w:sz w:val="24"/>
          <w:szCs w:val="24"/>
        </w:rPr>
        <w:t xml:space="preserve">and links </w:t>
      </w:r>
    </w:p>
    <w:p w:rsidR="002E2E65" w:rsidRDefault="002E2E65" w:rsidP="002E2E65">
      <w:pPr>
        <w:rPr>
          <w:b/>
          <w:sz w:val="24"/>
          <w:szCs w:val="24"/>
          <w:lang w:val="en-US"/>
        </w:rPr>
      </w:pPr>
    </w:p>
    <w:p w:rsidR="002E2E65" w:rsidRPr="002E2E65" w:rsidRDefault="002E2E65" w:rsidP="002E2E65">
      <w:pPr>
        <w:rPr>
          <w:sz w:val="24"/>
          <w:szCs w:val="24"/>
          <w:lang w:val="en-US"/>
        </w:rPr>
      </w:pPr>
      <w:r w:rsidRPr="002E2E65">
        <w:rPr>
          <w:sz w:val="24"/>
          <w:szCs w:val="24"/>
          <w:lang w:val="en-US"/>
        </w:rPr>
        <w:t xml:space="preserve">Judgment of the Court (Sixth Chamber) of 23 April 1991, </w:t>
      </w:r>
      <w:r w:rsidRPr="002E2E65">
        <w:rPr>
          <w:i/>
          <w:sz w:val="24"/>
          <w:szCs w:val="24"/>
          <w:lang w:val="en-US"/>
        </w:rPr>
        <w:t xml:space="preserve">Klaus </w:t>
      </w:r>
      <w:proofErr w:type="spellStart"/>
      <w:r w:rsidRPr="002E2E65">
        <w:rPr>
          <w:i/>
          <w:sz w:val="24"/>
          <w:szCs w:val="24"/>
          <w:lang w:val="en-US"/>
        </w:rPr>
        <w:t>Höfner</w:t>
      </w:r>
      <w:proofErr w:type="spellEnd"/>
      <w:r w:rsidRPr="002E2E65">
        <w:rPr>
          <w:i/>
          <w:sz w:val="24"/>
          <w:szCs w:val="24"/>
          <w:lang w:val="en-US"/>
        </w:rPr>
        <w:t xml:space="preserve"> and Fritz </w:t>
      </w:r>
      <w:proofErr w:type="spellStart"/>
      <w:r w:rsidRPr="002E2E65">
        <w:rPr>
          <w:i/>
          <w:sz w:val="24"/>
          <w:szCs w:val="24"/>
          <w:lang w:val="en-US"/>
        </w:rPr>
        <w:t>Elser</w:t>
      </w:r>
      <w:proofErr w:type="spellEnd"/>
      <w:r w:rsidRPr="002E2E65">
        <w:rPr>
          <w:i/>
          <w:sz w:val="24"/>
          <w:szCs w:val="24"/>
          <w:lang w:val="en-US"/>
        </w:rPr>
        <w:t xml:space="preserve"> v </w:t>
      </w:r>
      <w:proofErr w:type="spellStart"/>
      <w:r w:rsidRPr="002E2E65">
        <w:rPr>
          <w:i/>
          <w:sz w:val="24"/>
          <w:szCs w:val="24"/>
          <w:lang w:val="en-US"/>
        </w:rPr>
        <w:t>Macrotron</w:t>
      </w:r>
      <w:proofErr w:type="spellEnd"/>
      <w:r w:rsidRPr="002E2E65">
        <w:rPr>
          <w:i/>
          <w:sz w:val="24"/>
          <w:szCs w:val="24"/>
          <w:lang w:val="en-US"/>
        </w:rPr>
        <w:t xml:space="preserve"> </w:t>
      </w:r>
      <w:proofErr w:type="gramStart"/>
      <w:r w:rsidRPr="002E2E65">
        <w:rPr>
          <w:i/>
          <w:sz w:val="24"/>
          <w:szCs w:val="24"/>
          <w:lang w:val="en-US"/>
        </w:rPr>
        <w:t xml:space="preserve">GmbH </w:t>
      </w:r>
      <w:r>
        <w:rPr>
          <w:sz w:val="24"/>
          <w:szCs w:val="24"/>
          <w:lang w:val="en-US"/>
        </w:rPr>
        <w:t>:</w:t>
      </w:r>
      <w:proofErr w:type="gramEnd"/>
      <w:r>
        <w:rPr>
          <w:sz w:val="24"/>
          <w:szCs w:val="24"/>
          <w:lang w:val="en-US"/>
        </w:rPr>
        <w:t xml:space="preserve"> </w:t>
      </w:r>
      <w:hyperlink r:id="rId7" w:history="1">
        <w:r w:rsidRPr="006B77B8">
          <w:rPr>
            <w:rStyle w:val="Lienhypertexte"/>
            <w:sz w:val="24"/>
            <w:szCs w:val="24"/>
            <w:lang w:val="en-US"/>
          </w:rPr>
          <w:t>https://curia.europa.eu/juris/liste.jsf?td=ALL&amp;language=en&amp;jur=C,T,F&amp;num=41/90</w:t>
        </w:r>
      </w:hyperlink>
      <w:r>
        <w:rPr>
          <w:sz w:val="24"/>
          <w:szCs w:val="24"/>
          <w:lang w:val="en-US"/>
        </w:rPr>
        <w:t xml:space="preserve"> </w:t>
      </w:r>
    </w:p>
    <w:p w:rsidR="00AE47CC" w:rsidRDefault="002E2E65" w:rsidP="002E2E65">
      <w:pPr>
        <w:jc w:val="both"/>
        <w:rPr>
          <w:rFonts w:ascii="Roboto" w:hAnsi="Roboto"/>
          <w:b/>
          <w:bCs/>
          <w:color w:val="333333"/>
          <w:sz w:val="21"/>
          <w:szCs w:val="21"/>
          <w:shd w:val="clear" w:color="auto" w:fill="FFFFFF"/>
          <w:lang w:val="en-US"/>
        </w:rPr>
      </w:pPr>
      <w:r w:rsidRPr="002E2E65">
        <w:rPr>
          <w:lang w:val="en-US"/>
        </w:rPr>
        <w:t>Judgment of the General Court (Fourth Chamber, Extended Composition) of 30 March 2022 (Ex</w:t>
      </w:r>
      <w:r>
        <w:rPr>
          <w:lang w:val="en-US"/>
        </w:rPr>
        <w:t xml:space="preserve">tracts), </w:t>
      </w:r>
      <w:r w:rsidRPr="002E2E65">
        <w:rPr>
          <w:i/>
          <w:lang w:val="en-US"/>
        </w:rPr>
        <w:t>Air France-KLM v European Commission</w:t>
      </w:r>
      <w:r>
        <w:rPr>
          <w:lang w:val="en-US"/>
        </w:rPr>
        <w:t xml:space="preserve">, </w:t>
      </w:r>
      <w:r w:rsidRPr="002E2E65">
        <w:rPr>
          <w:rFonts w:ascii="Roboto" w:hAnsi="Roboto"/>
          <w:b/>
          <w:bCs/>
          <w:color w:val="333333"/>
          <w:sz w:val="21"/>
          <w:szCs w:val="21"/>
          <w:shd w:val="clear" w:color="auto" w:fill="FFFFFF"/>
          <w:lang w:val="en-US"/>
        </w:rPr>
        <w:t>Case T-337/17</w:t>
      </w:r>
      <w:r>
        <w:rPr>
          <w:rFonts w:ascii="Roboto" w:hAnsi="Roboto"/>
          <w:b/>
          <w:bCs/>
          <w:color w:val="333333"/>
          <w:sz w:val="21"/>
          <w:szCs w:val="21"/>
          <w:shd w:val="clear" w:color="auto" w:fill="FFFFFF"/>
          <w:lang w:val="en-US"/>
        </w:rPr>
        <w:t xml:space="preserve">: </w:t>
      </w:r>
      <w:hyperlink r:id="rId8" w:history="1">
        <w:r w:rsidRPr="006B77B8">
          <w:rPr>
            <w:rStyle w:val="Lienhypertexte"/>
            <w:rFonts w:ascii="Roboto" w:hAnsi="Roboto"/>
            <w:b/>
            <w:bCs/>
            <w:sz w:val="21"/>
            <w:szCs w:val="21"/>
            <w:shd w:val="clear" w:color="auto" w:fill="FFFFFF"/>
            <w:lang w:val="en-US"/>
          </w:rPr>
          <w:t>https://eur-lex.europa.eu/legal-content/EN/TXT/?uri=CELEX:62017TJ0337</w:t>
        </w:r>
      </w:hyperlink>
      <w:r>
        <w:rPr>
          <w:rFonts w:ascii="Roboto" w:hAnsi="Roboto"/>
          <w:b/>
          <w:bCs/>
          <w:color w:val="333333"/>
          <w:sz w:val="21"/>
          <w:szCs w:val="21"/>
          <w:shd w:val="clear" w:color="auto" w:fill="FFFFFF"/>
          <w:lang w:val="en-US"/>
        </w:rPr>
        <w:t xml:space="preserve"> </w:t>
      </w:r>
    </w:p>
    <w:p w:rsidR="002E2E65" w:rsidRDefault="002E2E65" w:rsidP="002E2E65">
      <w:pPr>
        <w:jc w:val="both"/>
        <w:rPr>
          <w:b/>
          <w:bCs/>
          <w:lang w:val="en-US"/>
        </w:rPr>
      </w:pPr>
      <w:r w:rsidRPr="002E2E65">
        <w:rPr>
          <w:bCs/>
          <w:lang w:val="en-US"/>
        </w:rPr>
        <w:t>Commission Notice — Guidelines on the effect on trade concept contained in Articles 81 and 82 of the Treaty (Text with EEA relevance):</w:t>
      </w:r>
      <w:r>
        <w:rPr>
          <w:b/>
          <w:bCs/>
          <w:lang w:val="en-US"/>
        </w:rPr>
        <w:t xml:space="preserve"> </w:t>
      </w:r>
      <w:hyperlink r:id="rId9" w:history="1">
        <w:r w:rsidRPr="006B77B8">
          <w:rPr>
            <w:rStyle w:val="Lienhypertexte"/>
            <w:b/>
            <w:bCs/>
            <w:lang w:val="en-US"/>
          </w:rPr>
          <w:t>https://eur-lex.europa.eu/legal-content/EN/TXT/?uri=celex%3A52004XC0427%2806%29</w:t>
        </w:r>
      </w:hyperlink>
      <w:r>
        <w:rPr>
          <w:b/>
          <w:bCs/>
          <w:lang w:val="en-US"/>
        </w:rPr>
        <w:t xml:space="preserve"> </w:t>
      </w:r>
    </w:p>
    <w:p w:rsidR="002E2E65" w:rsidRPr="002E2E65" w:rsidRDefault="002E2E65" w:rsidP="002E2E65">
      <w:pPr>
        <w:pStyle w:val="NormalWeb"/>
        <w:spacing w:before="30" w:beforeAutospacing="0" w:after="0" w:afterAutospacing="0"/>
        <w:jc w:val="both"/>
        <w:rPr>
          <w:rFonts w:ascii="Arial" w:hAnsi="Arial" w:cs="Arial"/>
          <w:bCs/>
          <w:sz w:val="20"/>
          <w:szCs w:val="20"/>
          <w:lang w:val="en-US"/>
        </w:rPr>
      </w:pPr>
      <w:r w:rsidRPr="002E2E65">
        <w:rPr>
          <w:rFonts w:ascii="Arial" w:hAnsi="Arial" w:cs="Arial"/>
          <w:bCs/>
          <w:sz w:val="20"/>
          <w:szCs w:val="20"/>
          <w:lang w:val="en-US"/>
        </w:rPr>
        <w:t>Judgment of the Court (Sixth Chamber) of 7 December 2000.</w:t>
      </w:r>
    </w:p>
    <w:p w:rsidR="002E2E65" w:rsidRPr="002E2E65" w:rsidRDefault="002E2E65" w:rsidP="002E2E65">
      <w:pPr>
        <w:pStyle w:val="NormalWeb"/>
        <w:spacing w:before="30" w:beforeAutospacing="0" w:after="0" w:afterAutospacing="0"/>
        <w:jc w:val="both"/>
        <w:rPr>
          <w:rFonts w:ascii="Arial" w:hAnsi="Arial" w:cs="Arial"/>
          <w:bCs/>
          <w:sz w:val="20"/>
          <w:szCs w:val="20"/>
          <w:lang w:val="en-US"/>
        </w:rPr>
      </w:pPr>
      <w:proofErr w:type="spellStart"/>
      <w:r w:rsidRPr="002E2E65">
        <w:rPr>
          <w:rFonts w:ascii="Arial" w:hAnsi="Arial" w:cs="Arial"/>
          <w:bCs/>
          <w:sz w:val="20"/>
          <w:szCs w:val="20"/>
          <w:lang w:val="en-US"/>
        </w:rPr>
        <w:t>Telaustria</w:t>
      </w:r>
      <w:proofErr w:type="spellEnd"/>
      <w:r w:rsidRPr="002E2E65">
        <w:rPr>
          <w:rFonts w:ascii="Arial" w:hAnsi="Arial" w:cs="Arial"/>
          <w:bCs/>
          <w:sz w:val="20"/>
          <w:szCs w:val="20"/>
          <w:lang w:val="en-US"/>
        </w:rPr>
        <w:t xml:space="preserve"> </w:t>
      </w:r>
      <w:proofErr w:type="spellStart"/>
      <w:r w:rsidRPr="002E2E65">
        <w:rPr>
          <w:rFonts w:ascii="Arial" w:hAnsi="Arial" w:cs="Arial"/>
          <w:bCs/>
          <w:sz w:val="20"/>
          <w:szCs w:val="20"/>
          <w:lang w:val="en-US"/>
        </w:rPr>
        <w:t>Verlags</w:t>
      </w:r>
      <w:proofErr w:type="spellEnd"/>
      <w:r w:rsidRPr="002E2E65">
        <w:rPr>
          <w:rFonts w:ascii="Arial" w:hAnsi="Arial" w:cs="Arial"/>
          <w:bCs/>
          <w:sz w:val="20"/>
          <w:szCs w:val="20"/>
          <w:lang w:val="en-US"/>
        </w:rPr>
        <w:t xml:space="preserve"> GmbH and </w:t>
      </w:r>
      <w:proofErr w:type="spellStart"/>
      <w:r w:rsidRPr="002E2E65">
        <w:rPr>
          <w:rFonts w:ascii="Arial" w:hAnsi="Arial" w:cs="Arial"/>
          <w:bCs/>
          <w:sz w:val="20"/>
          <w:szCs w:val="20"/>
          <w:lang w:val="en-US"/>
        </w:rPr>
        <w:t>Telefonadress</w:t>
      </w:r>
      <w:proofErr w:type="spellEnd"/>
      <w:r w:rsidRPr="002E2E65">
        <w:rPr>
          <w:rFonts w:ascii="Arial" w:hAnsi="Arial" w:cs="Arial"/>
          <w:bCs/>
          <w:sz w:val="20"/>
          <w:szCs w:val="20"/>
          <w:lang w:val="en-US"/>
        </w:rPr>
        <w:t xml:space="preserve"> GmbH v Telekom Austria </w:t>
      </w:r>
      <w:proofErr w:type="gramStart"/>
      <w:r w:rsidRPr="002E2E65">
        <w:rPr>
          <w:rFonts w:ascii="Arial" w:hAnsi="Arial" w:cs="Arial"/>
          <w:bCs/>
          <w:sz w:val="20"/>
          <w:szCs w:val="20"/>
          <w:lang w:val="en-US"/>
        </w:rPr>
        <w:t>AG :</w:t>
      </w:r>
      <w:proofErr w:type="gramEnd"/>
      <w:r w:rsidRPr="002E2E65">
        <w:rPr>
          <w:rFonts w:ascii="Arial" w:hAnsi="Arial" w:cs="Arial"/>
          <w:bCs/>
          <w:sz w:val="20"/>
          <w:szCs w:val="20"/>
          <w:lang w:val="en-US"/>
        </w:rPr>
        <w:t xml:space="preserve"> </w:t>
      </w:r>
    </w:p>
    <w:p w:rsidR="002E2E65" w:rsidRDefault="002E2E65" w:rsidP="002E2E65">
      <w:pPr>
        <w:jc w:val="both"/>
        <w:rPr>
          <w:lang w:val="en-US"/>
        </w:rPr>
      </w:pPr>
      <w:hyperlink r:id="rId10" w:history="1">
        <w:r w:rsidRPr="002E2E65">
          <w:rPr>
            <w:rStyle w:val="Lienhypertexte"/>
            <w:color w:val="auto"/>
            <w:lang w:val="en-US"/>
          </w:rPr>
          <w:t>https://curia.europa.eu/juris/liste.jsf?language=en&amp;num=C-324/98</w:t>
        </w:r>
      </w:hyperlink>
      <w:r w:rsidRPr="002E2E65">
        <w:rPr>
          <w:lang w:val="en-US"/>
        </w:rPr>
        <w:t xml:space="preserve"> </w:t>
      </w:r>
      <w:r w:rsidR="00797B81">
        <w:rPr>
          <w:lang w:val="en-US"/>
        </w:rPr>
        <w:t xml:space="preserve"> </w:t>
      </w:r>
    </w:p>
    <w:p w:rsidR="002E2E65" w:rsidRPr="002E2E65" w:rsidRDefault="00797B81" w:rsidP="00797B81">
      <w:pPr>
        <w:jc w:val="both"/>
        <w:rPr>
          <w:lang w:val="en-US"/>
        </w:rPr>
      </w:pPr>
      <w:r w:rsidRPr="00797B81">
        <w:rPr>
          <w:lang w:val="en-US"/>
        </w:rPr>
        <w:t>Judgment of the Court (Fifth Chamber) of 5 April 2017</w:t>
      </w:r>
      <w:r>
        <w:rPr>
          <w:lang w:val="en-US"/>
        </w:rPr>
        <w:t>, U</w:t>
      </w:r>
      <w:r w:rsidRPr="00797B81">
        <w:rPr>
          <w:lang w:val="en-US"/>
        </w:rPr>
        <w:t>AB ‘</w:t>
      </w:r>
      <w:proofErr w:type="spellStart"/>
      <w:r w:rsidRPr="00797B81">
        <w:rPr>
          <w:lang w:val="en-US"/>
        </w:rPr>
        <w:t>Borta</w:t>
      </w:r>
      <w:proofErr w:type="spellEnd"/>
      <w:r w:rsidRPr="00797B81">
        <w:rPr>
          <w:lang w:val="en-US"/>
        </w:rPr>
        <w:t xml:space="preserve">’ v VĮ </w:t>
      </w:r>
      <w:proofErr w:type="spellStart"/>
      <w:r w:rsidRPr="00797B81">
        <w:rPr>
          <w:lang w:val="en-US"/>
        </w:rPr>
        <w:t>Klaipėdos</w:t>
      </w:r>
      <w:proofErr w:type="spellEnd"/>
      <w:r w:rsidRPr="00797B81">
        <w:rPr>
          <w:lang w:val="en-US"/>
        </w:rPr>
        <w:t xml:space="preserve"> </w:t>
      </w:r>
      <w:proofErr w:type="spellStart"/>
      <w:r w:rsidRPr="00797B81">
        <w:rPr>
          <w:lang w:val="en-US"/>
        </w:rPr>
        <w:t>valstybinio</w:t>
      </w:r>
      <w:proofErr w:type="spellEnd"/>
      <w:r w:rsidRPr="00797B81">
        <w:rPr>
          <w:lang w:val="en-US"/>
        </w:rPr>
        <w:t xml:space="preserve"> </w:t>
      </w:r>
      <w:proofErr w:type="spellStart"/>
      <w:r w:rsidRPr="00797B81">
        <w:rPr>
          <w:lang w:val="en-US"/>
        </w:rPr>
        <w:t>jūrų</w:t>
      </w:r>
      <w:proofErr w:type="spellEnd"/>
      <w:r w:rsidRPr="00797B81">
        <w:rPr>
          <w:lang w:val="en-US"/>
        </w:rPr>
        <w:t xml:space="preserve"> </w:t>
      </w:r>
      <w:proofErr w:type="spellStart"/>
      <w:r w:rsidRPr="00797B81">
        <w:rPr>
          <w:lang w:val="en-US"/>
        </w:rPr>
        <w:t>uosto</w:t>
      </w:r>
      <w:proofErr w:type="spellEnd"/>
      <w:r w:rsidRPr="00797B81">
        <w:rPr>
          <w:lang w:val="en-US"/>
        </w:rPr>
        <w:t xml:space="preserve"> </w:t>
      </w:r>
      <w:proofErr w:type="spellStart"/>
      <w:proofErr w:type="gramStart"/>
      <w:r w:rsidRPr="00797B81">
        <w:rPr>
          <w:lang w:val="en-US"/>
        </w:rPr>
        <w:t>direkcija</w:t>
      </w:r>
      <w:proofErr w:type="spellEnd"/>
      <w:r>
        <w:rPr>
          <w:lang w:val="en-US"/>
        </w:rPr>
        <w:t xml:space="preserve"> :</w:t>
      </w:r>
      <w:proofErr w:type="gramEnd"/>
      <w:r>
        <w:rPr>
          <w:lang w:val="en-US"/>
        </w:rPr>
        <w:t xml:space="preserve"> </w:t>
      </w:r>
      <w:hyperlink r:id="rId11" w:history="1">
        <w:r w:rsidRPr="006B77B8">
          <w:rPr>
            <w:rStyle w:val="Lienhypertexte"/>
            <w:lang w:val="en-US"/>
          </w:rPr>
          <w:t>https://curia.europa.eu/juris/liste.jsf?language=en&amp;num=C-298/15</w:t>
        </w:r>
      </w:hyperlink>
      <w:r>
        <w:rPr>
          <w:lang w:val="en-US"/>
        </w:rPr>
        <w:t xml:space="preserve"> </w:t>
      </w:r>
    </w:p>
    <w:p w:rsidR="00AE47CC" w:rsidRDefault="00AE47CC" w:rsidP="00AE47CC">
      <w:pPr>
        <w:pStyle w:val="Paragraphedeliste"/>
        <w:numPr>
          <w:ilvl w:val="0"/>
          <w:numId w:val="3"/>
        </w:numPr>
        <w:rPr>
          <w:b/>
          <w:sz w:val="24"/>
          <w:szCs w:val="24"/>
        </w:rPr>
      </w:pPr>
      <w:r w:rsidRPr="00E60B0F">
        <w:rPr>
          <w:b/>
          <w:sz w:val="24"/>
          <w:szCs w:val="24"/>
        </w:rPr>
        <w:t xml:space="preserve">Before the session </w:t>
      </w:r>
      <w:r>
        <w:rPr>
          <w:b/>
          <w:sz w:val="24"/>
          <w:szCs w:val="24"/>
        </w:rPr>
        <w:t>–</w:t>
      </w:r>
      <w:r w:rsidRPr="00E60B0F">
        <w:rPr>
          <w:b/>
          <w:sz w:val="24"/>
          <w:szCs w:val="24"/>
        </w:rPr>
        <w:t xml:space="preserve"> readings</w:t>
      </w:r>
    </w:p>
    <w:p w:rsidR="00AE47CC" w:rsidRDefault="00AE47CC" w:rsidP="00AE47CC">
      <w:pPr>
        <w:pStyle w:val="Paragraphedeliste"/>
        <w:numPr>
          <w:ilvl w:val="0"/>
          <w:numId w:val="1"/>
        </w:numPr>
        <w:rPr>
          <w:sz w:val="24"/>
          <w:szCs w:val="24"/>
        </w:rPr>
      </w:pPr>
      <w:r w:rsidRPr="007647CA">
        <w:rPr>
          <w:sz w:val="24"/>
          <w:szCs w:val="24"/>
        </w:rPr>
        <w:t xml:space="preserve">Doc. 1 </w:t>
      </w:r>
      <w:r w:rsidRPr="007647CA">
        <w:rPr>
          <w:i/>
          <w:sz w:val="24"/>
          <w:szCs w:val="24"/>
        </w:rPr>
        <w:t>Case Easy Jet 1/2003</w:t>
      </w:r>
      <w:r w:rsidRPr="007647CA">
        <w:rPr>
          <w:sz w:val="24"/>
          <w:szCs w:val="24"/>
        </w:rPr>
        <w:t xml:space="preserve">, 21 </w:t>
      </w:r>
      <w:proofErr w:type="spellStart"/>
      <w:r w:rsidRPr="007647CA">
        <w:rPr>
          <w:sz w:val="24"/>
          <w:szCs w:val="24"/>
        </w:rPr>
        <w:t>january</w:t>
      </w:r>
      <w:proofErr w:type="spellEnd"/>
      <w:r w:rsidRPr="007647CA">
        <w:rPr>
          <w:sz w:val="24"/>
          <w:szCs w:val="24"/>
        </w:rPr>
        <w:t xml:space="preserve"> 2015</w:t>
      </w:r>
    </w:p>
    <w:p w:rsidR="00C9365D" w:rsidRPr="007647CA" w:rsidRDefault="00C9365D" w:rsidP="00AE47CC">
      <w:pPr>
        <w:pStyle w:val="Paragraphedeliste"/>
        <w:numPr>
          <w:ilvl w:val="0"/>
          <w:numId w:val="1"/>
        </w:numPr>
        <w:rPr>
          <w:sz w:val="24"/>
          <w:szCs w:val="24"/>
        </w:rPr>
      </w:pPr>
      <w:r>
        <w:rPr>
          <w:sz w:val="24"/>
          <w:szCs w:val="24"/>
        </w:rPr>
        <w:t xml:space="preserve">Doc. 2 Case </w:t>
      </w:r>
      <w:r w:rsidRPr="00C9365D">
        <w:rPr>
          <w:bCs/>
          <w:sz w:val="24"/>
          <w:szCs w:val="24"/>
        </w:rPr>
        <w:t>DB Station &amp; Service AG</w:t>
      </w:r>
      <w:r>
        <w:rPr>
          <w:bCs/>
          <w:sz w:val="24"/>
          <w:szCs w:val="24"/>
        </w:rPr>
        <w:t xml:space="preserve">, C 721/20, 27 </w:t>
      </w:r>
      <w:proofErr w:type="spellStart"/>
      <w:r>
        <w:rPr>
          <w:bCs/>
          <w:sz w:val="24"/>
          <w:szCs w:val="24"/>
        </w:rPr>
        <w:t>october</w:t>
      </w:r>
      <w:proofErr w:type="spellEnd"/>
      <w:r>
        <w:rPr>
          <w:bCs/>
          <w:sz w:val="24"/>
          <w:szCs w:val="24"/>
        </w:rPr>
        <w:t xml:space="preserve"> 2022</w:t>
      </w:r>
    </w:p>
    <w:p w:rsidR="00E23D27" w:rsidRDefault="00E23D27" w:rsidP="00E23D27">
      <w:pPr>
        <w:rPr>
          <w:b/>
          <w:sz w:val="24"/>
          <w:szCs w:val="24"/>
        </w:rPr>
      </w:pPr>
    </w:p>
    <w:p w:rsidR="00AE47CC" w:rsidRPr="0088512D" w:rsidRDefault="00AE47CC" w:rsidP="00AE47CC">
      <w:pPr>
        <w:jc w:val="both"/>
        <w:rPr>
          <w:rFonts w:ascii="Times New Roman" w:hAnsi="Times New Roman"/>
          <w:sz w:val="24"/>
          <w:szCs w:val="24"/>
          <w:lang w:val="en-US"/>
        </w:rPr>
      </w:pPr>
      <w:r>
        <w:rPr>
          <w:rFonts w:ascii="Times New Roman" w:hAnsi="Times New Roman"/>
          <w:sz w:val="24"/>
          <w:szCs w:val="24"/>
          <w:lang w:val="en-US"/>
        </w:rPr>
        <w:t xml:space="preserve">Doc. 1 - </w:t>
      </w:r>
      <w:r w:rsidRPr="0088512D">
        <w:rPr>
          <w:rFonts w:ascii="Times New Roman" w:hAnsi="Times New Roman"/>
          <w:sz w:val="24"/>
          <w:szCs w:val="24"/>
          <w:lang w:val="en-US"/>
        </w:rPr>
        <w:t>JUDGMENT OF THE GENERAL COURT (Second Chamber)</w:t>
      </w:r>
      <w:r>
        <w:rPr>
          <w:rFonts w:ascii="Times New Roman" w:hAnsi="Times New Roman"/>
          <w:sz w:val="24"/>
          <w:szCs w:val="24"/>
          <w:lang w:val="en-US"/>
        </w:rPr>
        <w:t xml:space="preserve"> - </w:t>
      </w:r>
      <w:r w:rsidRPr="0088512D">
        <w:rPr>
          <w:rFonts w:ascii="Times New Roman" w:hAnsi="Times New Roman"/>
          <w:sz w:val="24"/>
          <w:szCs w:val="24"/>
          <w:lang w:val="en-US"/>
        </w:rPr>
        <w:t>21 January 2015 (</w:t>
      </w:r>
      <w:bookmarkStart w:id="1" w:name="Footref*"/>
      <w:r w:rsidRPr="0088512D">
        <w:rPr>
          <w:rFonts w:ascii="Times New Roman" w:hAnsi="Times New Roman"/>
          <w:sz w:val="24"/>
          <w:szCs w:val="24"/>
        </w:rPr>
        <w:fldChar w:fldCharType="begin"/>
      </w:r>
      <w:r w:rsidRPr="0088512D">
        <w:rPr>
          <w:rFonts w:ascii="Times New Roman" w:hAnsi="Times New Roman"/>
          <w:sz w:val="24"/>
          <w:szCs w:val="24"/>
          <w:lang w:val="en-US"/>
        </w:rPr>
        <w:instrText xml:space="preserve"> HYPERLINK "http://curia.europa.eu/juris/document/document.jsf?text=&amp;docid=161547&amp;pageIndex=0&amp;doclang=EN&amp;mode=lst&amp;dir=&amp;occ=first&amp;part=1&amp;cid=681009" \l "Footnote*" </w:instrText>
      </w:r>
      <w:r w:rsidRPr="0088512D">
        <w:rPr>
          <w:rFonts w:ascii="Times New Roman" w:hAnsi="Times New Roman"/>
          <w:sz w:val="24"/>
          <w:szCs w:val="24"/>
        </w:rPr>
        <w:fldChar w:fldCharType="separate"/>
      </w:r>
      <w:r w:rsidRPr="0088512D">
        <w:rPr>
          <w:rStyle w:val="Lienhypertexte"/>
          <w:rFonts w:ascii="Times New Roman" w:hAnsi="Times New Roman"/>
          <w:sz w:val="24"/>
          <w:szCs w:val="24"/>
          <w:lang w:val="en-US"/>
        </w:rPr>
        <w:t>*</w:t>
      </w:r>
      <w:r w:rsidRPr="0088512D">
        <w:rPr>
          <w:rFonts w:ascii="Times New Roman" w:hAnsi="Times New Roman"/>
          <w:sz w:val="24"/>
          <w:szCs w:val="24"/>
          <w:lang w:val="en-US"/>
        </w:rPr>
        <w:fldChar w:fldCharType="end"/>
      </w:r>
      <w:bookmarkEnd w:id="1"/>
      <w:r w:rsidRPr="0088512D">
        <w:rPr>
          <w:rFonts w:ascii="Times New Roman" w:hAnsi="Times New Roman"/>
          <w:sz w:val="24"/>
          <w:szCs w:val="24"/>
          <w:lang w:val="en-US"/>
        </w:rPr>
        <w:t>)</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 xml:space="preserve">(Competition — Abuse of a dominant position — Airport services market — Decision rejecting a complaint — Article 13(2) of Regulation (EC) No 1/2003 — Case dealt with by a competition authority of a Member State — Rejection of the complaint on priority grounds — Decision of </w:t>
      </w:r>
      <w:r w:rsidRPr="0088512D">
        <w:rPr>
          <w:rFonts w:ascii="Times New Roman" w:hAnsi="Times New Roman"/>
          <w:sz w:val="24"/>
          <w:szCs w:val="24"/>
          <w:lang w:val="en-US"/>
        </w:rPr>
        <w:lastRenderedPageBreak/>
        <w:t>the competition authority drawing conclusions, in competition law, from an investigation conducted under national legislation applicable to the sector in question — Obligation to state reasons)</w:t>
      </w:r>
      <w:proofErr w:type="gramEnd"/>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In Case T</w:t>
      </w:r>
      <w:r w:rsidRPr="0088512D">
        <w:rPr>
          <w:rFonts w:ascii="Times New Roman" w:hAnsi="Times New Roman"/>
          <w:sz w:val="24"/>
          <w:szCs w:val="24"/>
          <w:lang w:val="en-US"/>
        </w:rPr>
        <w:noBreakHyphen/>
        <w:t>355/13,</w:t>
      </w:r>
    </w:p>
    <w:p w:rsidR="00AE47CC" w:rsidRPr="0088512D" w:rsidRDefault="00AE47CC" w:rsidP="00AE47CC">
      <w:pPr>
        <w:jc w:val="both"/>
        <w:rPr>
          <w:rFonts w:ascii="Times New Roman" w:hAnsi="Times New Roman"/>
          <w:sz w:val="24"/>
          <w:szCs w:val="24"/>
          <w:lang w:val="en-US"/>
        </w:rPr>
      </w:pPr>
      <w:proofErr w:type="spellStart"/>
      <w:proofErr w:type="gramStart"/>
      <w:r w:rsidRPr="0088512D">
        <w:rPr>
          <w:rFonts w:ascii="Times New Roman" w:hAnsi="Times New Roman"/>
          <w:b/>
          <w:bCs/>
          <w:sz w:val="24"/>
          <w:szCs w:val="24"/>
          <w:lang w:val="en-US"/>
        </w:rPr>
        <w:t>easyJet</w:t>
      </w:r>
      <w:proofErr w:type="spellEnd"/>
      <w:proofErr w:type="gramEnd"/>
      <w:r w:rsidRPr="0088512D">
        <w:rPr>
          <w:rFonts w:ascii="Times New Roman" w:hAnsi="Times New Roman"/>
          <w:b/>
          <w:bCs/>
          <w:sz w:val="24"/>
          <w:szCs w:val="24"/>
          <w:lang w:val="en-US"/>
        </w:rPr>
        <w:t xml:space="preserve"> Airline Co. Ltd, </w:t>
      </w:r>
      <w:r w:rsidRPr="0088512D">
        <w:rPr>
          <w:rFonts w:ascii="Times New Roman" w:hAnsi="Times New Roman"/>
          <w:sz w:val="24"/>
          <w:szCs w:val="24"/>
          <w:lang w:val="en-US"/>
        </w:rPr>
        <w:t xml:space="preserve">established in </w:t>
      </w:r>
      <w:proofErr w:type="spellStart"/>
      <w:r w:rsidRPr="0088512D">
        <w:rPr>
          <w:rFonts w:ascii="Times New Roman" w:hAnsi="Times New Roman"/>
          <w:sz w:val="24"/>
          <w:szCs w:val="24"/>
          <w:lang w:val="en-US"/>
        </w:rPr>
        <w:t>Luton</w:t>
      </w:r>
      <w:proofErr w:type="spellEnd"/>
      <w:r w:rsidRPr="0088512D">
        <w:rPr>
          <w:rFonts w:ascii="Times New Roman" w:hAnsi="Times New Roman"/>
          <w:sz w:val="24"/>
          <w:szCs w:val="24"/>
          <w:lang w:val="en-US"/>
        </w:rPr>
        <w:t xml:space="preserve"> (United Kingdom), represented by M. Werner and R. Marian, lawyers,</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applicant</w:t>
      </w:r>
      <w:proofErr w:type="gramEnd"/>
      <w:r w:rsidRPr="0088512D">
        <w:rPr>
          <w:rFonts w:ascii="Times New Roman" w:hAnsi="Times New Roman"/>
          <w:sz w:val="24"/>
          <w:szCs w:val="24"/>
          <w:lang w:val="en-US"/>
        </w:rPr>
        <w:t>,</w:t>
      </w:r>
      <w:r>
        <w:rPr>
          <w:rFonts w:ascii="Times New Roman" w:hAnsi="Times New Roman"/>
          <w:sz w:val="24"/>
          <w:szCs w:val="24"/>
          <w:lang w:val="en-US"/>
        </w:rPr>
        <w:t xml:space="preserve"> </w:t>
      </w:r>
      <w:r w:rsidRPr="0088512D">
        <w:rPr>
          <w:rFonts w:ascii="Times New Roman" w:hAnsi="Times New Roman"/>
          <w:sz w:val="24"/>
          <w:szCs w:val="24"/>
          <w:lang w:val="en-US"/>
        </w:rPr>
        <w:t>v</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b/>
          <w:bCs/>
          <w:sz w:val="24"/>
          <w:szCs w:val="24"/>
          <w:lang w:val="en-US"/>
        </w:rPr>
        <w:t>European Commission,</w:t>
      </w:r>
      <w:r w:rsidRPr="0088512D">
        <w:rPr>
          <w:rFonts w:ascii="Times New Roman" w:hAnsi="Times New Roman"/>
          <w:sz w:val="24"/>
          <w:szCs w:val="24"/>
          <w:lang w:val="en-US"/>
        </w:rPr>
        <w:t xml:space="preserve"> represented by A. </w:t>
      </w:r>
      <w:proofErr w:type="spellStart"/>
      <w:r w:rsidRPr="0088512D">
        <w:rPr>
          <w:rFonts w:ascii="Times New Roman" w:hAnsi="Times New Roman"/>
          <w:sz w:val="24"/>
          <w:szCs w:val="24"/>
          <w:lang w:val="en-US"/>
        </w:rPr>
        <w:t>Biolan</w:t>
      </w:r>
      <w:proofErr w:type="spellEnd"/>
      <w:r w:rsidRPr="0088512D">
        <w:rPr>
          <w:rFonts w:ascii="Times New Roman" w:hAnsi="Times New Roman"/>
          <w:sz w:val="24"/>
          <w:szCs w:val="24"/>
          <w:lang w:val="en-US"/>
        </w:rPr>
        <w:t xml:space="preserve"> and F. </w:t>
      </w:r>
      <w:proofErr w:type="spellStart"/>
      <w:r w:rsidRPr="0088512D">
        <w:rPr>
          <w:rFonts w:ascii="Times New Roman" w:hAnsi="Times New Roman"/>
          <w:sz w:val="24"/>
          <w:szCs w:val="24"/>
          <w:lang w:val="en-US"/>
        </w:rPr>
        <w:t>Ronkes</w:t>
      </w:r>
      <w:proofErr w:type="spellEnd"/>
      <w:r w:rsidRPr="0088512D">
        <w:rPr>
          <w:rFonts w:ascii="Times New Roman" w:hAnsi="Times New Roman"/>
          <w:sz w:val="24"/>
          <w:szCs w:val="24"/>
          <w:lang w:val="en-US"/>
        </w:rPr>
        <w:t xml:space="preserve"> </w:t>
      </w:r>
      <w:proofErr w:type="spellStart"/>
      <w:r w:rsidRPr="0088512D">
        <w:rPr>
          <w:rFonts w:ascii="Times New Roman" w:hAnsi="Times New Roman"/>
          <w:sz w:val="24"/>
          <w:szCs w:val="24"/>
          <w:lang w:val="en-US"/>
        </w:rPr>
        <w:t>Agerbeek</w:t>
      </w:r>
      <w:proofErr w:type="spellEnd"/>
      <w:r w:rsidRPr="0088512D">
        <w:rPr>
          <w:rFonts w:ascii="Times New Roman" w:hAnsi="Times New Roman"/>
          <w:sz w:val="24"/>
          <w:szCs w:val="24"/>
          <w:lang w:val="en-US"/>
        </w:rPr>
        <w:t>, acting as Agents,</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defendant</w:t>
      </w:r>
      <w:proofErr w:type="gramEnd"/>
      <w:r w:rsidRPr="0088512D">
        <w:rPr>
          <w:rFonts w:ascii="Times New Roman" w:hAnsi="Times New Roman"/>
          <w:sz w:val="24"/>
          <w:szCs w:val="24"/>
          <w:lang w:val="en-US"/>
        </w:rPr>
        <w:t>,</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supported</w:t>
      </w:r>
      <w:proofErr w:type="gramEnd"/>
      <w:r w:rsidRPr="0088512D">
        <w:rPr>
          <w:rFonts w:ascii="Times New Roman" w:hAnsi="Times New Roman"/>
          <w:sz w:val="24"/>
          <w:szCs w:val="24"/>
          <w:lang w:val="en-US"/>
        </w:rPr>
        <w:t xml:space="preserve"> by</w:t>
      </w:r>
    </w:p>
    <w:p w:rsidR="00AE47CC" w:rsidRPr="0088512D" w:rsidRDefault="00AE47CC" w:rsidP="00AE47CC">
      <w:pPr>
        <w:jc w:val="both"/>
        <w:rPr>
          <w:rFonts w:ascii="Times New Roman" w:hAnsi="Times New Roman"/>
          <w:sz w:val="24"/>
          <w:szCs w:val="24"/>
          <w:lang w:val="en-US"/>
        </w:rPr>
      </w:pPr>
      <w:proofErr w:type="spellStart"/>
      <w:r w:rsidRPr="0088512D">
        <w:rPr>
          <w:rFonts w:ascii="Times New Roman" w:hAnsi="Times New Roman"/>
          <w:b/>
          <w:bCs/>
          <w:sz w:val="24"/>
          <w:szCs w:val="24"/>
          <w:lang w:val="en-US"/>
        </w:rPr>
        <w:t>Luchthaven</w:t>
      </w:r>
      <w:proofErr w:type="spellEnd"/>
      <w:r w:rsidRPr="0088512D">
        <w:rPr>
          <w:rFonts w:ascii="Times New Roman" w:hAnsi="Times New Roman"/>
          <w:b/>
          <w:bCs/>
          <w:sz w:val="24"/>
          <w:szCs w:val="24"/>
          <w:lang w:val="en-US"/>
        </w:rPr>
        <w:t xml:space="preserve"> Schiphol NV, </w:t>
      </w:r>
      <w:r w:rsidRPr="0088512D">
        <w:rPr>
          <w:rFonts w:ascii="Times New Roman" w:hAnsi="Times New Roman"/>
          <w:sz w:val="24"/>
          <w:szCs w:val="24"/>
          <w:lang w:val="en-US"/>
        </w:rPr>
        <w:t xml:space="preserve">established in Schiphol (Netherlands), represented by J. de </w:t>
      </w:r>
      <w:proofErr w:type="spellStart"/>
      <w:r w:rsidRPr="0088512D">
        <w:rPr>
          <w:rFonts w:ascii="Times New Roman" w:hAnsi="Times New Roman"/>
          <w:sz w:val="24"/>
          <w:szCs w:val="24"/>
          <w:lang w:val="en-US"/>
        </w:rPr>
        <w:t>Pree</w:t>
      </w:r>
      <w:proofErr w:type="spellEnd"/>
      <w:r w:rsidRPr="0088512D">
        <w:rPr>
          <w:rFonts w:ascii="Times New Roman" w:hAnsi="Times New Roman"/>
          <w:sz w:val="24"/>
          <w:szCs w:val="24"/>
          <w:lang w:val="en-US"/>
        </w:rPr>
        <w:t>, G. </w:t>
      </w:r>
      <w:proofErr w:type="spellStart"/>
      <w:r w:rsidRPr="0088512D">
        <w:rPr>
          <w:rFonts w:ascii="Times New Roman" w:hAnsi="Times New Roman"/>
          <w:sz w:val="24"/>
          <w:szCs w:val="24"/>
          <w:lang w:val="en-US"/>
        </w:rPr>
        <w:t>Hakopian</w:t>
      </w:r>
      <w:proofErr w:type="spellEnd"/>
      <w:r w:rsidRPr="0088512D">
        <w:rPr>
          <w:rFonts w:ascii="Times New Roman" w:hAnsi="Times New Roman"/>
          <w:sz w:val="24"/>
          <w:szCs w:val="24"/>
          <w:lang w:val="en-US"/>
        </w:rPr>
        <w:t xml:space="preserve"> and S. </w:t>
      </w:r>
      <w:proofErr w:type="spellStart"/>
      <w:r w:rsidRPr="0088512D">
        <w:rPr>
          <w:rFonts w:ascii="Times New Roman" w:hAnsi="Times New Roman"/>
          <w:sz w:val="24"/>
          <w:szCs w:val="24"/>
          <w:lang w:val="en-US"/>
        </w:rPr>
        <w:t>Molin</w:t>
      </w:r>
      <w:proofErr w:type="spellEnd"/>
      <w:r w:rsidRPr="0088512D">
        <w:rPr>
          <w:rFonts w:ascii="Times New Roman" w:hAnsi="Times New Roman"/>
          <w:sz w:val="24"/>
          <w:szCs w:val="24"/>
          <w:lang w:val="en-US"/>
        </w:rPr>
        <w:t>, lawyers,</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intervener</w:t>
      </w:r>
      <w:proofErr w:type="gramEnd"/>
      <w:r w:rsidRPr="0088512D">
        <w:rPr>
          <w:rFonts w:ascii="Times New Roman" w:hAnsi="Times New Roman"/>
          <w:sz w:val="24"/>
          <w:szCs w:val="24"/>
          <w:lang w:val="en-US"/>
        </w:rPr>
        <w:t>,</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xml:space="preserve">APPLICATION for annulment of Commission Decision C(2013) 2727 final of 3 May 2013 rejecting the complaint lodged by the applicant against </w:t>
      </w:r>
      <w:proofErr w:type="spellStart"/>
      <w:r w:rsidRPr="0088512D">
        <w:rPr>
          <w:rFonts w:ascii="Times New Roman" w:hAnsi="Times New Roman"/>
          <w:sz w:val="24"/>
          <w:szCs w:val="24"/>
          <w:lang w:val="en-US"/>
        </w:rPr>
        <w:t>Luchthaven</w:t>
      </w:r>
      <w:proofErr w:type="spellEnd"/>
      <w:r w:rsidRPr="0088512D">
        <w:rPr>
          <w:rFonts w:ascii="Times New Roman" w:hAnsi="Times New Roman"/>
          <w:sz w:val="24"/>
          <w:szCs w:val="24"/>
          <w:lang w:val="en-US"/>
        </w:rPr>
        <w:t xml:space="preserve"> Schiphol NV in relation to alleged anti-competitive conduct in the airport services market (Case COMP/39.869 — </w:t>
      </w:r>
      <w:proofErr w:type="spellStart"/>
      <w:r w:rsidRPr="0088512D">
        <w:rPr>
          <w:rFonts w:ascii="Times New Roman" w:hAnsi="Times New Roman"/>
          <w:sz w:val="24"/>
          <w:szCs w:val="24"/>
          <w:lang w:val="en-US"/>
        </w:rPr>
        <w:t>easyJet</w:t>
      </w:r>
      <w:proofErr w:type="spellEnd"/>
      <w:r w:rsidRPr="0088512D">
        <w:rPr>
          <w:rFonts w:ascii="Times New Roman" w:hAnsi="Times New Roman"/>
          <w:sz w:val="24"/>
          <w:szCs w:val="24"/>
          <w:lang w:val="en-US"/>
        </w:rPr>
        <w:t>/Schiphol),</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THE GENERAL COURT (Second Chamber),</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composed</w:t>
      </w:r>
      <w:proofErr w:type="gramEnd"/>
      <w:r w:rsidRPr="0088512D">
        <w:rPr>
          <w:rFonts w:ascii="Times New Roman" w:hAnsi="Times New Roman"/>
          <w:sz w:val="24"/>
          <w:szCs w:val="24"/>
          <w:lang w:val="en-US"/>
        </w:rPr>
        <w:t xml:space="preserve"> of M.E. Martins Ribeiro, President, S. </w:t>
      </w:r>
      <w:proofErr w:type="spellStart"/>
      <w:r w:rsidRPr="0088512D">
        <w:rPr>
          <w:rFonts w:ascii="Times New Roman" w:hAnsi="Times New Roman"/>
          <w:sz w:val="24"/>
          <w:szCs w:val="24"/>
          <w:lang w:val="en-US"/>
        </w:rPr>
        <w:t>Gervasoni</w:t>
      </w:r>
      <w:proofErr w:type="spellEnd"/>
      <w:r w:rsidRPr="0088512D">
        <w:rPr>
          <w:rFonts w:ascii="Times New Roman" w:hAnsi="Times New Roman"/>
          <w:sz w:val="24"/>
          <w:szCs w:val="24"/>
          <w:lang w:val="en-US"/>
        </w:rPr>
        <w:t xml:space="preserve"> (Rapporteur) and L. </w:t>
      </w:r>
      <w:proofErr w:type="spellStart"/>
      <w:r w:rsidRPr="0088512D">
        <w:rPr>
          <w:rFonts w:ascii="Times New Roman" w:hAnsi="Times New Roman"/>
          <w:sz w:val="24"/>
          <w:szCs w:val="24"/>
          <w:lang w:val="en-US"/>
        </w:rPr>
        <w:t>Madise</w:t>
      </w:r>
      <w:proofErr w:type="spellEnd"/>
      <w:r w:rsidRPr="0088512D">
        <w:rPr>
          <w:rFonts w:ascii="Times New Roman" w:hAnsi="Times New Roman"/>
          <w:sz w:val="24"/>
          <w:szCs w:val="24"/>
          <w:lang w:val="en-US"/>
        </w:rPr>
        <w:t>, Judges,</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Registrar: C. </w:t>
      </w:r>
      <w:proofErr w:type="spellStart"/>
      <w:r w:rsidRPr="0088512D">
        <w:rPr>
          <w:rFonts w:ascii="Times New Roman" w:hAnsi="Times New Roman"/>
          <w:sz w:val="24"/>
          <w:szCs w:val="24"/>
          <w:lang w:val="en-US"/>
        </w:rPr>
        <w:t>Kristensen</w:t>
      </w:r>
      <w:proofErr w:type="spellEnd"/>
      <w:r w:rsidRPr="0088512D">
        <w:rPr>
          <w:rFonts w:ascii="Times New Roman" w:hAnsi="Times New Roman"/>
          <w:sz w:val="24"/>
          <w:szCs w:val="24"/>
          <w:lang w:val="en-US"/>
        </w:rPr>
        <w:t>, Administrator,</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having</w:t>
      </w:r>
      <w:proofErr w:type="gramEnd"/>
      <w:r w:rsidRPr="0088512D">
        <w:rPr>
          <w:rFonts w:ascii="Times New Roman" w:hAnsi="Times New Roman"/>
          <w:sz w:val="24"/>
          <w:szCs w:val="24"/>
          <w:lang w:val="en-US"/>
        </w:rPr>
        <w:t xml:space="preserve"> regard to the written procedure and further to the hearing on 26 September 2014,</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gives</w:t>
      </w:r>
      <w:proofErr w:type="gramEnd"/>
      <w:r w:rsidRPr="0088512D">
        <w:rPr>
          <w:rFonts w:ascii="Times New Roman" w:hAnsi="Times New Roman"/>
          <w:sz w:val="24"/>
          <w:szCs w:val="24"/>
          <w:lang w:val="en-US"/>
        </w:rPr>
        <w:t xml:space="preserve"> the following</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b/>
          <w:bCs/>
          <w:sz w:val="24"/>
          <w:szCs w:val="24"/>
          <w:lang w:val="en-US"/>
        </w:rPr>
        <w:t>Judgment</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Facts</w:t>
      </w:r>
    </w:p>
    <w:p w:rsidR="00AE47CC" w:rsidRPr="0088512D" w:rsidRDefault="00AE47CC" w:rsidP="00AE47CC">
      <w:pPr>
        <w:jc w:val="both"/>
        <w:rPr>
          <w:rFonts w:ascii="Times New Roman" w:hAnsi="Times New Roman"/>
          <w:sz w:val="24"/>
          <w:szCs w:val="24"/>
          <w:lang w:val="en-US"/>
        </w:rPr>
      </w:pPr>
      <w:bookmarkStart w:id="2" w:name="point1"/>
      <w:r w:rsidRPr="0088512D">
        <w:rPr>
          <w:rFonts w:ascii="Times New Roman" w:hAnsi="Times New Roman"/>
          <w:sz w:val="24"/>
          <w:szCs w:val="24"/>
          <w:lang w:val="en-US"/>
        </w:rPr>
        <w:t>1</w:t>
      </w:r>
      <w:bookmarkEnd w:id="2"/>
      <w:r w:rsidRPr="0088512D">
        <w:rPr>
          <w:rFonts w:ascii="Times New Roman" w:hAnsi="Times New Roman"/>
          <w:sz w:val="24"/>
          <w:szCs w:val="24"/>
          <w:lang w:val="en-US"/>
        </w:rPr>
        <w:t xml:space="preserve">        The applicant — </w:t>
      </w:r>
      <w:proofErr w:type="spellStart"/>
      <w:r w:rsidRPr="0088512D">
        <w:rPr>
          <w:rFonts w:ascii="Times New Roman" w:hAnsi="Times New Roman"/>
          <w:sz w:val="24"/>
          <w:szCs w:val="24"/>
          <w:lang w:val="en-US"/>
        </w:rPr>
        <w:t>easyJet</w:t>
      </w:r>
      <w:proofErr w:type="spellEnd"/>
      <w:r w:rsidRPr="0088512D">
        <w:rPr>
          <w:rFonts w:ascii="Times New Roman" w:hAnsi="Times New Roman"/>
          <w:sz w:val="24"/>
          <w:szCs w:val="24"/>
          <w:lang w:val="en-US"/>
        </w:rPr>
        <w:t xml:space="preserve"> Airline Co. Ltd — is a British air carrier that is highly active within the European Union, operating, inter alia, to and from Schiphol Airport, Amsterdam (Netherlands).</w:t>
      </w:r>
    </w:p>
    <w:p w:rsidR="00AE47CC" w:rsidRPr="0088512D" w:rsidRDefault="00AE47CC" w:rsidP="00AE47CC">
      <w:pPr>
        <w:jc w:val="both"/>
        <w:rPr>
          <w:rFonts w:ascii="Times New Roman" w:hAnsi="Times New Roman"/>
          <w:sz w:val="24"/>
          <w:szCs w:val="24"/>
          <w:lang w:val="en-US"/>
        </w:rPr>
      </w:pPr>
      <w:bookmarkStart w:id="3" w:name="point2"/>
      <w:r w:rsidRPr="0088512D">
        <w:rPr>
          <w:rFonts w:ascii="Times New Roman" w:hAnsi="Times New Roman"/>
          <w:sz w:val="24"/>
          <w:szCs w:val="24"/>
          <w:lang w:val="en-US"/>
        </w:rPr>
        <w:t>2</w:t>
      </w:r>
      <w:bookmarkEnd w:id="3"/>
      <w:r w:rsidRPr="0088512D">
        <w:rPr>
          <w:rFonts w:ascii="Times New Roman" w:hAnsi="Times New Roman"/>
          <w:sz w:val="24"/>
          <w:szCs w:val="24"/>
          <w:lang w:val="en-US"/>
        </w:rPr>
        <w:t xml:space="preserve">        On 11 September 2008, the applicant lodged two initial complaints with the </w:t>
      </w:r>
      <w:proofErr w:type="spellStart"/>
      <w:r w:rsidRPr="0088512D">
        <w:rPr>
          <w:rFonts w:ascii="Times New Roman" w:hAnsi="Times New Roman"/>
          <w:sz w:val="24"/>
          <w:szCs w:val="24"/>
          <w:lang w:val="en-US"/>
        </w:rPr>
        <w:t>Nederlandse</w:t>
      </w:r>
      <w:proofErr w:type="spellEnd"/>
      <w:r w:rsidRPr="0088512D">
        <w:rPr>
          <w:rFonts w:ascii="Times New Roman" w:hAnsi="Times New Roman"/>
          <w:sz w:val="24"/>
          <w:szCs w:val="24"/>
          <w:lang w:val="en-US"/>
        </w:rPr>
        <w:t xml:space="preserve"> </w:t>
      </w:r>
      <w:proofErr w:type="spellStart"/>
      <w:r w:rsidRPr="0088512D">
        <w:rPr>
          <w:rFonts w:ascii="Times New Roman" w:hAnsi="Times New Roman"/>
          <w:sz w:val="24"/>
          <w:szCs w:val="24"/>
          <w:lang w:val="en-US"/>
        </w:rPr>
        <w:t>Mededingingsautoriteit</w:t>
      </w:r>
      <w:proofErr w:type="spellEnd"/>
      <w:r w:rsidRPr="0088512D">
        <w:rPr>
          <w:rFonts w:ascii="Times New Roman" w:hAnsi="Times New Roman"/>
          <w:sz w:val="24"/>
          <w:szCs w:val="24"/>
          <w:lang w:val="en-US"/>
        </w:rPr>
        <w:t xml:space="preserve"> (the Netherlands competition authority;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against </w:t>
      </w:r>
      <w:proofErr w:type="spellStart"/>
      <w:r w:rsidRPr="0088512D">
        <w:rPr>
          <w:rFonts w:ascii="Times New Roman" w:hAnsi="Times New Roman"/>
          <w:sz w:val="24"/>
          <w:szCs w:val="24"/>
          <w:lang w:val="en-US"/>
        </w:rPr>
        <w:t>Luchthaven</w:t>
      </w:r>
      <w:proofErr w:type="spellEnd"/>
      <w:r w:rsidRPr="0088512D">
        <w:rPr>
          <w:rFonts w:ascii="Times New Roman" w:hAnsi="Times New Roman"/>
          <w:sz w:val="24"/>
          <w:szCs w:val="24"/>
          <w:lang w:val="en-US"/>
        </w:rPr>
        <w:t xml:space="preserve"> Schiphol NV (the operator of Amsterdam-Schiphol airport; ‘Schiphol’), in relation to the security and passenger service charges to be applied from 1 November 2008. The first complaint was based on Article </w:t>
      </w:r>
      <w:proofErr w:type="gramStart"/>
      <w:r w:rsidRPr="0088512D">
        <w:rPr>
          <w:rFonts w:ascii="Times New Roman" w:hAnsi="Times New Roman"/>
          <w:sz w:val="24"/>
          <w:szCs w:val="24"/>
          <w:lang w:val="en-US"/>
        </w:rPr>
        <w:t>8.25f(</w:t>
      </w:r>
      <w:proofErr w:type="gramEnd"/>
      <w:r w:rsidRPr="0088512D">
        <w:rPr>
          <w:rFonts w:ascii="Times New Roman" w:hAnsi="Times New Roman"/>
          <w:sz w:val="24"/>
          <w:szCs w:val="24"/>
          <w:lang w:val="en-US"/>
        </w:rPr>
        <w:t xml:space="preserve">1) of the Wet </w:t>
      </w:r>
      <w:proofErr w:type="spellStart"/>
      <w:r w:rsidRPr="0088512D">
        <w:rPr>
          <w:rFonts w:ascii="Times New Roman" w:hAnsi="Times New Roman"/>
          <w:sz w:val="24"/>
          <w:szCs w:val="24"/>
          <w:lang w:val="en-US"/>
        </w:rPr>
        <w:t>Luchtvaart</w:t>
      </w:r>
      <w:proofErr w:type="spellEnd"/>
      <w:r w:rsidRPr="0088512D">
        <w:rPr>
          <w:rFonts w:ascii="Times New Roman" w:hAnsi="Times New Roman"/>
          <w:sz w:val="24"/>
          <w:szCs w:val="24"/>
          <w:lang w:val="en-US"/>
        </w:rPr>
        <w:t xml:space="preserve"> (Law on Aviation; ‘the WL’), and the second on Article 24 of the </w:t>
      </w:r>
      <w:proofErr w:type="spellStart"/>
      <w:r w:rsidRPr="0088512D">
        <w:rPr>
          <w:rFonts w:ascii="Times New Roman" w:hAnsi="Times New Roman"/>
          <w:sz w:val="24"/>
          <w:szCs w:val="24"/>
          <w:lang w:val="en-US"/>
        </w:rPr>
        <w:t>Mededingingswet</w:t>
      </w:r>
      <w:proofErr w:type="spellEnd"/>
      <w:r w:rsidRPr="0088512D">
        <w:rPr>
          <w:rFonts w:ascii="Times New Roman" w:hAnsi="Times New Roman"/>
          <w:sz w:val="24"/>
          <w:szCs w:val="24"/>
          <w:lang w:val="en-US"/>
        </w:rPr>
        <w:t xml:space="preserve"> (Law on Competition; ‘the MW’) and Article 102 TFEU.</w:t>
      </w:r>
    </w:p>
    <w:p w:rsidR="00AE47CC" w:rsidRPr="0088512D" w:rsidRDefault="00AE47CC" w:rsidP="00AE47CC">
      <w:pPr>
        <w:jc w:val="both"/>
        <w:rPr>
          <w:rFonts w:ascii="Times New Roman" w:hAnsi="Times New Roman"/>
          <w:sz w:val="24"/>
          <w:szCs w:val="24"/>
          <w:lang w:val="en-US"/>
        </w:rPr>
      </w:pPr>
      <w:bookmarkStart w:id="4" w:name="point3"/>
      <w:r w:rsidRPr="0088512D">
        <w:rPr>
          <w:rFonts w:ascii="Times New Roman" w:hAnsi="Times New Roman"/>
          <w:sz w:val="24"/>
          <w:szCs w:val="24"/>
          <w:lang w:val="en-US"/>
        </w:rPr>
        <w:lastRenderedPageBreak/>
        <w:t>3</w:t>
      </w:r>
      <w:bookmarkEnd w:id="4"/>
      <w:r w:rsidRPr="0088512D">
        <w:rPr>
          <w:rFonts w:ascii="Times New Roman" w:hAnsi="Times New Roman"/>
          <w:sz w:val="24"/>
          <w:szCs w:val="24"/>
          <w:lang w:val="en-US"/>
        </w:rPr>
        <w:t xml:space="preserve">        On 20 November 2008, the applicant lodged a new complaint with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on the basis of Article 8.25f(1) of the WL, in relation to the security and passenger service charges to be applied by Schiphol from 1 April 2009 (‘the third complaint’).</w:t>
      </w:r>
    </w:p>
    <w:p w:rsidR="00AE47CC" w:rsidRPr="0088512D" w:rsidRDefault="00AE47CC" w:rsidP="00AE47CC">
      <w:pPr>
        <w:jc w:val="both"/>
        <w:rPr>
          <w:rFonts w:ascii="Times New Roman" w:hAnsi="Times New Roman"/>
          <w:sz w:val="24"/>
          <w:szCs w:val="24"/>
          <w:lang w:val="en-US"/>
        </w:rPr>
      </w:pPr>
      <w:bookmarkStart w:id="5" w:name="point4"/>
      <w:r w:rsidRPr="0088512D">
        <w:rPr>
          <w:rFonts w:ascii="Times New Roman" w:hAnsi="Times New Roman"/>
          <w:sz w:val="24"/>
          <w:szCs w:val="24"/>
          <w:lang w:val="en-US"/>
        </w:rPr>
        <w:t>4</w:t>
      </w:r>
      <w:bookmarkEnd w:id="5"/>
      <w:r w:rsidRPr="0088512D">
        <w:rPr>
          <w:rFonts w:ascii="Times New Roman" w:hAnsi="Times New Roman"/>
          <w:sz w:val="24"/>
          <w:szCs w:val="24"/>
          <w:lang w:val="en-US"/>
        </w:rPr>
        <w:t xml:space="preserve">        On 19 December 2008,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rejected the applicant’s first complaint on the ground that it </w:t>
      </w:r>
      <w:proofErr w:type="gramStart"/>
      <w:r w:rsidRPr="0088512D">
        <w:rPr>
          <w:rFonts w:ascii="Times New Roman" w:hAnsi="Times New Roman"/>
          <w:sz w:val="24"/>
          <w:szCs w:val="24"/>
          <w:lang w:val="en-US"/>
        </w:rPr>
        <w:t>had been brought</w:t>
      </w:r>
      <w:proofErr w:type="gramEnd"/>
      <w:r w:rsidRPr="0088512D">
        <w:rPr>
          <w:rFonts w:ascii="Times New Roman" w:hAnsi="Times New Roman"/>
          <w:sz w:val="24"/>
          <w:szCs w:val="24"/>
          <w:lang w:val="en-US"/>
        </w:rPr>
        <w:t xml:space="preserve"> out of time. It also informed the applicant that it was suspending the review of the second complaint pending the outcome of its assessment of the third complaint.</w:t>
      </w:r>
    </w:p>
    <w:p w:rsidR="00AE47CC" w:rsidRPr="0088512D" w:rsidRDefault="00AE47CC" w:rsidP="00AE47CC">
      <w:pPr>
        <w:jc w:val="both"/>
        <w:rPr>
          <w:rFonts w:ascii="Times New Roman" w:hAnsi="Times New Roman"/>
          <w:sz w:val="24"/>
          <w:szCs w:val="24"/>
          <w:lang w:val="en-US"/>
        </w:rPr>
      </w:pPr>
      <w:bookmarkStart w:id="6" w:name="point5"/>
      <w:r w:rsidRPr="0088512D">
        <w:rPr>
          <w:rFonts w:ascii="Times New Roman" w:hAnsi="Times New Roman"/>
          <w:sz w:val="24"/>
          <w:szCs w:val="24"/>
          <w:lang w:val="en-US"/>
        </w:rPr>
        <w:t>5</w:t>
      </w:r>
      <w:bookmarkEnd w:id="6"/>
      <w:r w:rsidRPr="0088512D">
        <w:rPr>
          <w:rFonts w:ascii="Times New Roman" w:hAnsi="Times New Roman"/>
          <w:sz w:val="24"/>
          <w:szCs w:val="24"/>
          <w:lang w:val="en-US"/>
        </w:rPr>
        <w:t xml:space="preserve">        By decision of 14 July 2009,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rejected the third complaint on the grounds that the applicant had failed to prove that the charges applied by Schiphol from 1 April 2009 were in breach of the WL and, in particular, contrary to the principles that charges must be cost-orientated, non-discriminatory and reasonable. The applicant brought an action contesting that decision, which </w:t>
      </w:r>
      <w:proofErr w:type="gramStart"/>
      <w:r w:rsidRPr="0088512D">
        <w:rPr>
          <w:rFonts w:ascii="Times New Roman" w:hAnsi="Times New Roman"/>
          <w:sz w:val="24"/>
          <w:szCs w:val="24"/>
          <w:lang w:val="en-US"/>
        </w:rPr>
        <w:t>was dismissed</w:t>
      </w:r>
      <w:proofErr w:type="gramEnd"/>
      <w:r w:rsidRPr="0088512D">
        <w:rPr>
          <w:rFonts w:ascii="Times New Roman" w:hAnsi="Times New Roman"/>
          <w:sz w:val="24"/>
          <w:szCs w:val="24"/>
          <w:lang w:val="en-US"/>
        </w:rPr>
        <w:t xml:space="preserve"> by judgment of the </w:t>
      </w:r>
      <w:proofErr w:type="spellStart"/>
      <w:r w:rsidRPr="0088512D">
        <w:rPr>
          <w:rFonts w:ascii="Times New Roman" w:hAnsi="Times New Roman"/>
          <w:sz w:val="24"/>
          <w:szCs w:val="24"/>
          <w:lang w:val="en-US"/>
        </w:rPr>
        <w:t>Rechtbank</w:t>
      </w:r>
      <w:proofErr w:type="spellEnd"/>
      <w:r w:rsidRPr="0088512D">
        <w:rPr>
          <w:rFonts w:ascii="Times New Roman" w:hAnsi="Times New Roman"/>
          <w:sz w:val="24"/>
          <w:szCs w:val="24"/>
          <w:lang w:val="en-US"/>
        </w:rPr>
        <w:t xml:space="preserve"> Rotterdam (District Court of Rotterdam) of 25 November 2010. The applicant then lodged an appeal against that judgment before the College van </w:t>
      </w:r>
      <w:proofErr w:type="spellStart"/>
      <w:r w:rsidRPr="0088512D">
        <w:rPr>
          <w:rFonts w:ascii="Times New Roman" w:hAnsi="Times New Roman"/>
          <w:sz w:val="24"/>
          <w:szCs w:val="24"/>
          <w:lang w:val="en-US"/>
        </w:rPr>
        <w:t>beroep</w:t>
      </w:r>
      <w:proofErr w:type="spellEnd"/>
      <w:r w:rsidRPr="0088512D">
        <w:rPr>
          <w:rFonts w:ascii="Times New Roman" w:hAnsi="Times New Roman"/>
          <w:sz w:val="24"/>
          <w:szCs w:val="24"/>
          <w:lang w:val="en-US"/>
        </w:rPr>
        <w:t xml:space="preserve"> </w:t>
      </w:r>
      <w:proofErr w:type="spellStart"/>
      <w:r w:rsidRPr="0088512D">
        <w:rPr>
          <w:rFonts w:ascii="Times New Roman" w:hAnsi="Times New Roman"/>
          <w:sz w:val="24"/>
          <w:szCs w:val="24"/>
          <w:lang w:val="en-US"/>
        </w:rPr>
        <w:t>voor</w:t>
      </w:r>
      <w:proofErr w:type="spellEnd"/>
      <w:r w:rsidRPr="0088512D">
        <w:rPr>
          <w:rFonts w:ascii="Times New Roman" w:hAnsi="Times New Roman"/>
          <w:sz w:val="24"/>
          <w:szCs w:val="24"/>
          <w:lang w:val="en-US"/>
        </w:rPr>
        <w:t xml:space="preserve"> het </w:t>
      </w:r>
      <w:proofErr w:type="spellStart"/>
      <w:r w:rsidRPr="0088512D">
        <w:rPr>
          <w:rFonts w:ascii="Times New Roman" w:hAnsi="Times New Roman"/>
          <w:sz w:val="24"/>
          <w:szCs w:val="24"/>
          <w:lang w:val="en-US"/>
        </w:rPr>
        <w:t>bedrijfsleven</w:t>
      </w:r>
      <w:proofErr w:type="spellEnd"/>
      <w:r w:rsidRPr="0088512D">
        <w:rPr>
          <w:rFonts w:ascii="Times New Roman" w:hAnsi="Times New Roman"/>
          <w:sz w:val="24"/>
          <w:szCs w:val="24"/>
          <w:lang w:val="en-US"/>
        </w:rPr>
        <w:t xml:space="preserve"> (Administrative Court for Trade and Industry), which it subsequently withdrew.</w:t>
      </w:r>
    </w:p>
    <w:p w:rsidR="00AE47CC" w:rsidRPr="0088512D" w:rsidRDefault="00AE47CC" w:rsidP="00AE47CC">
      <w:pPr>
        <w:jc w:val="both"/>
        <w:rPr>
          <w:rFonts w:ascii="Times New Roman" w:hAnsi="Times New Roman"/>
          <w:sz w:val="24"/>
          <w:szCs w:val="24"/>
          <w:lang w:val="en-US"/>
        </w:rPr>
      </w:pPr>
      <w:bookmarkStart w:id="7" w:name="point6"/>
      <w:r w:rsidRPr="0088512D">
        <w:rPr>
          <w:rFonts w:ascii="Times New Roman" w:hAnsi="Times New Roman"/>
          <w:sz w:val="24"/>
          <w:szCs w:val="24"/>
          <w:lang w:val="en-US"/>
        </w:rPr>
        <w:t>6</w:t>
      </w:r>
      <w:bookmarkEnd w:id="7"/>
      <w:r w:rsidRPr="0088512D">
        <w:rPr>
          <w:rFonts w:ascii="Times New Roman" w:hAnsi="Times New Roman"/>
          <w:sz w:val="24"/>
          <w:szCs w:val="24"/>
          <w:lang w:val="en-US"/>
        </w:rPr>
        <w:t xml:space="preserve">        By decision of 16 December 2009,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rejected the second complaint. It found that the various complaints lodged by the applicant had features in common and that the charges scheduled to enter into force in April 2009 were not fundamentally different from </w:t>
      </w:r>
      <w:proofErr w:type="gramStart"/>
      <w:r w:rsidRPr="0088512D">
        <w:rPr>
          <w:rFonts w:ascii="Times New Roman" w:hAnsi="Times New Roman"/>
          <w:sz w:val="24"/>
          <w:szCs w:val="24"/>
          <w:lang w:val="en-US"/>
        </w:rPr>
        <w:t>those which</w:t>
      </w:r>
      <w:proofErr w:type="gramEnd"/>
      <w:r w:rsidRPr="0088512D">
        <w:rPr>
          <w:rFonts w:ascii="Times New Roman" w:hAnsi="Times New Roman"/>
          <w:sz w:val="24"/>
          <w:szCs w:val="24"/>
          <w:lang w:val="en-US"/>
        </w:rPr>
        <w:t xml:space="preserve"> had entered into force in November 2008. In addition,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found that the concepts of non-discrimination and reasonableness, as referred to in Article 8.25d(2) and (3) of the WL, were similar to those concepts as referred to in European competition law (Article 102 TFEU) and national competition law (Article 24 MW).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also noted that, in its decision of 14 July 2009, it had construed the provisions of the WL in accordance with the </w:t>
      </w:r>
      <w:proofErr w:type="gramStart"/>
      <w:r w:rsidRPr="0088512D">
        <w:rPr>
          <w:rFonts w:ascii="Times New Roman" w:hAnsi="Times New Roman"/>
          <w:sz w:val="24"/>
          <w:szCs w:val="24"/>
          <w:lang w:val="en-US"/>
        </w:rPr>
        <w:t>case-law</w:t>
      </w:r>
      <w:proofErr w:type="gramEnd"/>
      <w:r w:rsidRPr="0088512D">
        <w:rPr>
          <w:rFonts w:ascii="Times New Roman" w:hAnsi="Times New Roman"/>
          <w:sz w:val="24"/>
          <w:szCs w:val="24"/>
          <w:lang w:val="en-US"/>
        </w:rPr>
        <w:t xml:space="preserve"> of the Courts of the European Union in relation to Article 102 TFEU. It further stated that a definition of the relevant market, which it would have given as one of the steps in an investigation conducted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competition law, was not necessary in the circumstances, since it had assumed that Schiphol was in a position of economic strength.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concluded that a review of the charges introduced in November 2008 in the light of Article 102 TFEU would have the same outcome as the review of the third complaint, and it consequently rejected the second complaint in accordance with its priority policy. The applicant did not appeal against this decision. </w:t>
      </w:r>
    </w:p>
    <w:p w:rsidR="00AE47CC" w:rsidRPr="0088512D" w:rsidRDefault="00AE47CC" w:rsidP="00AE47CC">
      <w:pPr>
        <w:jc w:val="both"/>
        <w:rPr>
          <w:rFonts w:ascii="Times New Roman" w:hAnsi="Times New Roman"/>
          <w:sz w:val="24"/>
          <w:szCs w:val="24"/>
          <w:lang w:val="en-US"/>
        </w:rPr>
      </w:pPr>
      <w:bookmarkStart w:id="8" w:name="point7"/>
      <w:r w:rsidRPr="0088512D">
        <w:rPr>
          <w:rFonts w:ascii="Times New Roman" w:hAnsi="Times New Roman"/>
          <w:sz w:val="24"/>
          <w:szCs w:val="24"/>
          <w:lang w:val="en-US"/>
        </w:rPr>
        <w:t>7</w:t>
      </w:r>
      <w:bookmarkEnd w:id="8"/>
      <w:r w:rsidRPr="0088512D">
        <w:rPr>
          <w:rFonts w:ascii="Times New Roman" w:hAnsi="Times New Roman"/>
          <w:sz w:val="24"/>
          <w:szCs w:val="24"/>
          <w:lang w:val="en-US"/>
        </w:rPr>
        <w:t xml:space="preserve">        On 14 January 2011, the applicant lodged a complaint with the Commission pursuant to Article 7 of Council Regulation (EC) No 1/2003 of 16 December 2002 on the implementation of the rules on competition laid down in Articles 81 [EC] and 82 [EC] (OJ 2003 L 1, p. 1). The applicant submitted that the charges set by Schiphol were discriminatory and excessive and amounted to an infringement of Article 102 TFEU. The applicant mentioned, moreover, that it had lodged a number of complaints with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but that, in its view, that authority had not taken any final decision on the merits of a complaint relating to competition.</w:t>
      </w:r>
    </w:p>
    <w:p w:rsidR="00AE47CC" w:rsidRPr="0088512D" w:rsidRDefault="00AE47CC" w:rsidP="00AE47CC">
      <w:pPr>
        <w:jc w:val="both"/>
        <w:rPr>
          <w:rFonts w:ascii="Times New Roman" w:hAnsi="Times New Roman"/>
          <w:sz w:val="24"/>
          <w:szCs w:val="24"/>
          <w:lang w:val="en-US"/>
        </w:rPr>
      </w:pPr>
      <w:bookmarkStart w:id="9" w:name="point8"/>
      <w:r w:rsidRPr="0088512D">
        <w:rPr>
          <w:rFonts w:ascii="Times New Roman" w:hAnsi="Times New Roman"/>
          <w:sz w:val="24"/>
          <w:szCs w:val="24"/>
          <w:lang w:val="en-US"/>
        </w:rPr>
        <w:t>8</w:t>
      </w:r>
      <w:bookmarkEnd w:id="9"/>
      <w:r w:rsidRPr="0088512D">
        <w:rPr>
          <w:rFonts w:ascii="Times New Roman" w:hAnsi="Times New Roman"/>
          <w:sz w:val="24"/>
          <w:szCs w:val="24"/>
          <w:lang w:val="en-US"/>
        </w:rPr>
        <w:t xml:space="preserve">        On 18 December 2012, the Commission informed the applicant of its intention to reject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13(2) of Regulation No 1/2003, on the ground that a competition authority of a Member State had already dealt with the case. The applicant replied to the Commission by letter of 31 January 2013.</w:t>
      </w:r>
    </w:p>
    <w:p w:rsidR="00AE47CC" w:rsidRPr="0088512D" w:rsidRDefault="00AE47CC" w:rsidP="00AE47CC">
      <w:pPr>
        <w:jc w:val="both"/>
        <w:rPr>
          <w:rFonts w:ascii="Times New Roman" w:hAnsi="Times New Roman"/>
          <w:sz w:val="24"/>
          <w:szCs w:val="24"/>
          <w:lang w:val="en-US"/>
        </w:rPr>
      </w:pPr>
      <w:bookmarkStart w:id="10" w:name="point9"/>
      <w:r w:rsidRPr="0088512D">
        <w:rPr>
          <w:rFonts w:ascii="Times New Roman" w:hAnsi="Times New Roman"/>
          <w:sz w:val="24"/>
          <w:szCs w:val="24"/>
          <w:lang w:val="en-US"/>
        </w:rPr>
        <w:t>9</w:t>
      </w:r>
      <w:bookmarkEnd w:id="10"/>
      <w:r w:rsidRPr="0088512D">
        <w:rPr>
          <w:rFonts w:ascii="Times New Roman" w:hAnsi="Times New Roman"/>
          <w:sz w:val="24"/>
          <w:szCs w:val="24"/>
          <w:lang w:val="en-US"/>
        </w:rPr>
        <w:t xml:space="preserve">        On 3 May 2013, the Commission adopted Decision C(2013) 2727 final rejecting the applicant’s complaint on the basis of Article 13(2) of Regulation No 1/2003 (‘the contested decision’). In addition, the Commission found that, in any event, the complaint </w:t>
      </w:r>
      <w:proofErr w:type="gramStart"/>
      <w:r w:rsidRPr="0088512D">
        <w:rPr>
          <w:rFonts w:ascii="Times New Roman" w:hAnsi="Times New Roman"/>
          <w:sz w:val="24"/>
          <w:szCs w:val="24"/>
          <w:lang w:val="en-US"/>
        </w:rPr>
        <w:t xml:space="preserve">could also be </w:t>
      </w:r>
      <w:r w:rsidRPr="0088512D">
        <w:rPr>
          <w:rFonts w:ascii="Times New Roman" w:hAnsi="Times New Roman"/>
          <w:sz w:val="24"/>
          <w:szCs w:val="24"/>
          <w:lang w:val="en-US"/>
        </w:rPr>
        <w:lastRenderedPageBreak/>
        <w:t>rejected</w:t>
      </w:r>
      <w:proofErr w:type="gramEnd"/>
      <w:r w:rsidRPr="0088512D">
        <w:rPr>
          <w:rFonts w:ascii="Times New Roman" w:hAnsi="Times New Roman"/>
          <w:sz w:val="24"/>
          <w:szCs w:val="24"/>
          <w:lang w:val="en-US"/>
        </w:rPr>
        <w:t xml:space="preserve"> because the European Union lacked a legal interest, given that, in the light of the </w:t>
      </w:r>
      <w:proofErr w:type="spellStart"/>
      <w:r w:rsidRPr="0088512D">
        <w:rPr>
          <w:rFonts w:ascii="Times New Roman" w:hAnsi="Times New Roman"/>
          <w:sz w:val="24"/>
          <w:szCs w:val="24"/>
          <w:lang w:val="en-US"/>
        </w:rPr>
        <w:t>NMa’s</w:t>
      </w:r>
      <w:proofErr w:type="spellEnd"/>
      <w:r w:rsidRPr="0088512D">
        <w:rPr>
          <w:rFonts w:ascii="Times New Roman" w:hAnsi="Times New Roman"/>
          <w:sz w:val="24"/>
          <w:szCs w:val="24"/>
          <w:lang w:val="en-US"/>
        </w:rPr>
        <w:t xml:space="preserve"> findings, there was very little likelihood of being able to establish an infringement of Article 102 TFEU.</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Procedure and forms of order sought</w:t>
      </w:r>
    </w:p>
    <w:p w:rsidR="00AE47CC" w:rsidRPr="0088512D" w:rsidRDefault="00AE47CC" w:rsidP="00AE47CC">
      <w:pPr>
        <w:jc w:val="both"/>
        <w:rPr>
          <w:rFonts w:ascii="Times New Roman" w:hAnsi="Times New Roman"/>
          <w:sz w:val="24"/>
          <w:szCs w:val="24"/>
          <w:lang w:val="en-US"/>
        </w:rPr>
      </w:pPr>
      <w:bookmarkStart w:id="11" w:name="point10"/>
      <w:r w:rsidRPr="0088512D">
        <w:rPr>
          <w:rFonts w:ascii="Times New Roman" w:hAnsi="Times New Roman"/>
          <w:sz w:val="24"/>
          <w:szCs w:val="24"/>
          <w:lang w:val="en-US"/>
        </w:rPr>
        <w:t>10</w:t>
      </w:r>
      <w:bookmarkEnd w:id="11"/>
      <w:r w:rsidRPr="0088512D">
        <w:rPr>
          <w:rFonts w:ascii="Times New Roman" w:hAnsi="Times New Roman"/>
          <w:sz w:val="24"/>
          <w:szCs w:val="24"/>
          <w:lang w:val="en-US"/>
        </w:rPr>
        <w:t xml:space="preserve">      The applicant brought the present action by application lodged at the Registry of the General Court on 4 July 2013. </w:t>
      </w:r>
    </w:p>
    <w:p w:rsidR="00AE47CC" w:rsidRPr="0088512D" w:rsidRDefault="00AE47CC" w:rsidP="00AE47CC">
      <w:pPr>
        <w:jc w:val="both"/>
        <w:rPr>
          <w:rFonts w:ascii="Times New Roman" w:hAnsi="Times New Roman"/>
          <w:sz w:val="24"/>
          <w:szCs w:val="24"/>
          <w:lang w:val="en-US"/>
        </w:rPr>
      </w:pPr>
      <w:bookmarkStart w:id="12" w:name="point11"/>
      <w:r w:rsidRPr="0088512D">
        <w:rPr>
          <w:rFonts w:ascii="Times New Roman" w:hAnsi="Times New Roman"/>
          <w:sz w:val="24"/>
          <w:szCs w:val="24"/>
          <w:lang w:val="en-US"/>
        </w:rPr>
        <w:t>11</w:t>
      </w:r>
      <w:bookmarkEnd w:id="12"/>
      <w:r w:rsidRPr="0088512D">
        <w:rPr>
          <w:rFonts w:ascii="Times New Roman" w:hAnsi="Times New Roman"/>
          <w:sz w:val="24"/>
          <w:szCs w:val="24"/>
          <w:lang w:val="en-US"/>
        </w:rPr>
        <w:t xml:space="preserve">      The applicant claims that the Court should: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annul the contested decision</w:t>
      </w:r>
      <w:proofErr w:type="gramStart"/>
      <w:r w:rsidRPr="0088512D">
        <w:rPr>
          <w:rFonts w:ascii="Times New Roman" w:hAnsi="Times New Roman"/>
          <w:sz w:val="24"/>
          <w:szCs w:val="24"/>
          <w:lang w:val="en-US"/>
        </w:rPr>
        <w:t>;</w:t>
      </w:r>
      <w:proofErr w:type="gramEnd"/>
      <w:r w:rsidRPr="0088512D">
        <w:rPr>
          <w:rFonts w:ascii="Times New Roman" w:hAnsi="Times New Roman"/>
          <w:sz w:val="24"/>
          <w:szCs w:val="24"/>
          <w:lang w:val="en-US"/>
        </w:rPr>
        <w:t xml:space="preserve">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xml:space="preserve">–        order the Commission to pay the costs. </w:t>
      </w:r>
    </w:p>
    <w:p w:rsidR="00AE47CC" w:rsidRPr="0088512D" w:rsidRDefault="00AE47CC" w:rsidP="00AE47CC">
      <w:pPr>
        <w:jc w:val="both"/>
        <w:rPr>
          <w:rFonts w:ascii="Times New Roman" w:hAnsi="Times New Roman"/>
          <w:sz w:val="24"/>
          <w:szCs w:val="24"/>
          <w:lang w:val="en-US"/>
        </w:rPr>
      </w:pPr>
      <w:bookmarkStart w:id="13" w:name="point12"/>
      <w:r w:rsidRPr="0088512D">
        <w:rPr>
          <w:rFonts w:ascii="Times New Roman" w:hAnsi="Times New Roman"/>
          <w:sz w:val="24"/>
          <w:szCs w:val="24"/>
          <w:lang w:val="en-US"/>
        </w:rPr>
        <w:t>12</w:t>
      </w:r>
      <w:bookmarkEnd w:id="13"/>
      <w:r w:rsidRPr="0088512D">
        <w:rPr>
          <w:rFonts w:ascii="Times New Roman" w:hAnsi="Times New Roman"/>
          <w:sz w:val="24"/>
          <w:szCs w:val="24"/>
          <w:lang w:val="en-US"/>
        </w:rPr>
        <w:t xml:space="preserve">      The Commission contends that the Court should: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dismiss the action</w:t>
      </w:r>
      <w:proofErr w:type="gramStart"/>
      <w:r w:rsidRPr="0088512D">
        <w:rPr>
          <w:rFonts w:ascii="Times New Roman" w:hAnsi="Times New Roman"/>
          <w:sz w:val="24"/>
          <w:szCs w:val="24"/>
          <w:lang w:val="en-US"/>
        </w:rPr>
        <w:t>;</w:t>
      </w:r>
      <w:proofErr w:type="gramEnd"/>
      <w:r w:rsidRPr="0088512D">
        <w:rPr>
          <w:rFonts w:ascii="Times New Roman" w:hAnsi="Times New Roman"/>
          <w:sz w:val="24"/>
          <w:szCs w:val="24"/>
          <w:lang w:val="en-US"/>
        </w:rPr>
        <w:t xml:space="preserve">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xml:space="preserve">–        order the applicant to pay the costs. </w:t>
      </w:r>
    </w:p>
    <w:p w:rsidR="00AE47CC" w:rsidRPr="0088512D" w:rsidRDefault="00AE47CC" w:rsidP="00AE47CC">
      <w:pPr>
        <w:jc w:val="both"/>
        <w:rPr>
          <w:rFonts w:ascii="Times New Roman" w:hAnsi="Times New Roman"/>
          <w:sz w:val="24"/>
          <w:szCs w:val="24"/>
          <w:lang w:val="en-US"/>
        </w:rPr>
      </w:pPr>
      <w:bookmarkStart w:id="14" w:name="point13"/>
      <w:r w:rsidRPr="0088512D">
        <w:rPr>
          <w:rFonts w:ascii="Times New Roman" w:hAnsi="Times New Roman"/>
          <w:sz w:val="24"/>
          <w:szCs w:val="24"/>
          <w:lang w:val="en-US"/>
        </w:rPr>
        <w:t>13</w:t>
      </w:r>
      <w:bookmarkEnd w:id="14"/>
      <w:r w:rsidRPr="0088512D">
        <w:rPr>
          <w:rFonts w:ascii="Times New Roman" w:hAnsi="Times New Roman"/>
          <w:sz w:val="24"/>
          <w:szCs w:val="24"/>
          <w:lang w:val="en-US"/>
        </w:rPr>
        <w:t xml:space="preserve">      By document lodged on 4 October 2013, Schiphol applied for leave to intervene in the proceedings in support of the form of order sought by the Commission, pursuant to Article 115 of the General Court’s Rules of Procedure. By order of the President of the Second Chamber of the General Court of 10 December 2013, Schiphol </w:t>
      </w:r>
      <w:proofErr w:type="gramStart"/>
      <w:r w:rsidRPr="0088512D">
        <w:rPr>
          <w:rFonts w:ascii="Times New Roman" w:hAnsi="Times New Roman"/>
          <w:sz w:val="24"/>
          <w:szCs w:val="24"/>
          <w:lang w:val="en-US"/>
        </w:rPr>
        <w:t>was granted</w:t>
      </w:r>
      <w:proofErr w:type="gramEnd"/>
      <w:r w:rsidRPr="0088512D">
        <w:rPr>
          <w:rFonts w:ascii="Times New Roman" w:hAnsi="Times New Roman"/>
          <w:sz w:val="24"/>
          <w:szCs w:val="24"/>
          <w:lang w:val="en-US"/>
        </w:rPr>
        <w:t xml:space="preserve"> leave to intervene in the case in support of the form of order sought by the Commission.</w:t>
      </w:r>
    </w:p>
    <w:p w:rsidR="00AE47CC" w:rsidRPr="0088512D" w:rsidRDefault="00AE47CC" w:rsidP="00AE47CC">
      <w:pPr>
        <w:jc w:val="both"/>
        <w:rPr>
          <w:rFonts w:ascii="Times New Roman" w:hAnsi="Times New Roman"/>
          <w:sz w:val="24"/>
          <w:szCs w:val="24"/>
          <w:lang w:val="en-US"/>
        </w:rPr>
      </w:pPr>
      <w:bookmarkStart w:id="15" w:name="point14"/>
      <w:r w:rsidRPr="0088512D">
        <w:rPr>
          <w:rFonts w:ascii="Times New Roman" w:hAnsi="Times New Roman"/>
          <w:sz w:val="24"/>
          <w:szCs w:val="24"/>
          <w:lang w:val="en-US"/>
        </w:rPr>
        <w:t>14</w:t>
      </w:r>
      <w:bookmarkEnd w:id="15"/>
      <w:r w:rsidRPr="0088512D">
        <w:rPr>
          <w:rFonts w:ascii="Times New Roman" w:hAnsi="Times New Roman"/>
          <w:sz w:val="24"/>
          <w:szCs w:val="24"/>
          <w:lang w:val="en-US"/>
        </w:rPr>
        <w:t xml:space="preserve">      Schiphol claims that the Court should: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dismiss the action</w:t>
      </w:r>
      <w:proofErr w:type="gramStart"/>
      <w:r w:rsidRPr="0088512D">
        <w:rPr>
          <w:rFonts w:ascii="Times New Roman" w:hAnsi="Times New Roman"/>
          <w:sz w:val="24"/>
          <w:szCs w:val="24"/>
          <w:lang w:val="en-US"/>
        </w:rPr>
        <w:t>;</w:t>
      </w:r>
      <w:proofErr w:type="gramEnd"/>
      <w:r w:rsidRPr="0088512D">
        <w:rPr>
          <w:rFonts w:ascii="Times New Roman" w:hAnsi="Times New Roman"/>
          <w:sz w:val="24"/>
          <w:szCs w:val="24"/>
          <w:lang w:val="en-US"/>
        </w:rPr>
        <w:t xml:space="preserve">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xml:space="preserve">–        order the applicant to pay the costs.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Substance</w:t>
      </w:r>
    </w:p>
    <w:p w:rsidR="00AE47CC" w:rsidRPr="0088512D" w:rsidRDefault="00AE47CC" w:rsidP="00AE47CC">
      <w:pPr>
        <w:jc w:val="both"/>
        <w:rPr>
          <w:rFonts w:ascii="Times New Roman" w:hAnsi="Times New Roman"/>
          <w:sz w:val="24"/>
          <w:szCs w:val="24"/>
          <w:lang w:val="en-US"/>
        </w:rPr>
      </w:pPr>
      <w:bookmarkStart w:id="16" w:name="point15"/>
      <w:proofErr w:type="gramStart"/>
      <w:r w:rsidRPr="0088512D">
        <w:rPr>
          <w:rFonts w:ascii="Times New Roman" w:hAnsi="Times New Roman"/>
          <w:sz w:val="24"/>
          <w:szCs w:val="24"/>
          <w:lang w:val="en-US"/>
        </w:rPr>
        <w:t>15</w:t>
      </w:r>
      <w:bookmarkEnd w:id="16"/>
      <w:r w:rsidRPr="0088512D">
        <w:rPr>
          <w:rFonts w:ascii="Times New Roman" w:hAnsi="Times New Roman"/>
          <w:sz w:val="24"/>
          <w:szCs w:val="24"/>
          <w:lang w:val="en-US"/>
        </w:rPr>
        <w:t>      The applicant relies on two pleas in law in support of its action, alleging respectively that: (</w:t>
      </w:r>
      <w:proofErr w:type="spellStart"/>
      <w:r w:rsidRPr="0088512D">
        <w:rPr>
          <w:rFonts w:ascii="Times New Roman" w:hAnsi="Times New Roman"/>
          <w:sz w:val="24"/>
          <w:szCs w:val="24"/>
          <w:lang w:val="en-US"/>
        </w:rPr>
        <w:t>i</w:t>
      </w:r>
      <w:proofErr w:type="spellEnd"/>
      <w:r w:rsidRPr="0088512D">
        <w:rPr>
          <w:rFonts w:ascii="Times New Roman" w:hAnsi="Times New Roman"/>
          <w:sz w:val="24"/>
          <w:szCs w:val="24"/>
          <w:lang w:val="en-US"/>
        </w:rPr>
        <w:t>) the Commission erred in law, and made a manifest error of assessment, in finding that the applicant’s complaint could be rejected on the basis of Article 13(2) of Regulation No 1/2003; and (ii) the contested decision contains an inadequate statement of reasons.</w:t>
      </w:r>
      <w:proofErr w:type="gramEnd"/>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i/>
          <w:iCs/>
          <w:sz w:val="24"/>
          <w:szCs w:val="24"/>
          <w:lang w:val="en-US"/>
        </w:rPr>
        <w:t>The first plea: error of law, and manifest error of assessment, in the application of Article 13(2) of Regulation No 1/2003</w:t>
      </w:r>
    </w:p>
    <w:p w:rsidR="00AE47CC" w:rsidRPr="0088512D" w:rsidRDefault="00AE47CC" w:rsidP="00AE47CC">
      <w:pPr>
        <w:jc w:val="both"/>
        <w:rPr>
          <w:rFonts w:ascii="Times New Roman" w:hAnsi="Times New Roman"/>
          <w:sz w:val="24"/>
          <w:szCs w:val="24"/>
          <w:lang w:val="en-US"/>
        </w:rPr>
      </w:pPr>
      <w:bookmarkStart w:id="17" w:name="point16"/>
      <w:r w:rsidRPr="0088512D">
        <w:rPr>
          <w:rFonts w:ascii="Times New Roman" w:hAnsi="Times New Roman"/>
          <w:sz w:val="24"/>
          <w:szCs w:val="24"/>
          <w:lang w:val="en-US"/>
        </w:rPr>
        <w:t>16</w:t>
      </w:r>
      <w:bookmarkEnd w:id="17"/>
      <w:r w:rsidRPr="0088512D">
        <w:rPr>
          <w:rFonts w:ascii="Times New Roman" w:hAnsi="Times New Roman"/>
          <w:sz w:val="24"/>
          <w:szCs w:val="24"/>
          <w:lang w:val="en-US"/>
        </w:rPr>
        <w:t xml:space="preserve">      The applicant submits, first, that the Commission erred in law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its complaint within the meaning of Article 13(2) of Regulation No 1/2003, even though that complaint </w:t>
      </w:r>
      <w:proofErr w:type="gramStart"/>
      <w:r w:rsidRPr="0088512D">
        <w:rPr>
          <w:rFonts w:ascii="Times New Roman" w:hAnsi="Times New Roman"/>
          <w:sz w:val="24"/>
          <w:szCs w:val="24"/>
          <w:lang w:val="en-US"/>
        </w:rPr>
        <w:t>had been rejected</w:t>
      </w:r>
      <w:proofErr w:type="gramEnd"/>
      <w:r w:rsidRPr="0088512D">
        <w:rPr>
          <w:rFonts w:ascii="Times New Roman" w:hAnsi="Times New Roman"/>
          <w:sz w:val="24"/>
          <w:szCs w:val="24"/>
          <w:lang w:val="en-US"/>
        </w:rPr>
        <w:t xml:space="preserve"> on priority grounds. Secondly, the applicant submits that the Commission erred in law and made a manifest error of assessment in basing itself on a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relating to a </w:t>
      </w:r>
      <w:proofErr w:type="gramStart"/>
      <w:r w:rsidRPr="0088512D">
        <w:rPr>
          <w:rFonts w:ascii="Times New Roman" w:hAnsi="Times New Roman"/>
          <w:sz w:val="24"/>
          <w:szCs w:val="24"/>
          <w:lang w:val="en-US"/>
        </w:rPr>
        <w:t>complaint which</w:t>
      </w:r>
      <w:proofErr w:type="gramEnd"/>
      <w:r w:rsidRPr="0088512D">
        <w:rPr>
          <w:rFonts w:ascii="Times New Roman" w:hAnsi="Times New Roman"/>
          <w:sz w:val="24"/>
          <w:szCs w:val="24"/>
          <w:lang w:val="en-US"/>
        </w:rPr>
        <w:t xml:space="preserve"> was not subject to an investigation conducted under European Union competition law, but rather under national air navigation law.</w:t>
      </w:r>
    </w:p>
    <w:p w:rsidR="00AE47CC" w:rsidRPr="0088512D" w:rsidRDefault="00AE47CC" w:rsidP="00AE47CC">
      <w:pPr>
        <w:jc w:val="both"/>
        <w:rPr>
          <w:rFonts w:ascii="Times New Roman" w:hAnsi="Times New Roman"/>
          <w:sz w:val="24"/>
          <w:szCs w:val="24"/>
          <w:lang w:val="en-US"/>
        </w:rPr>
      </w:pPr>
      <w:bookmarkStart w:id="18" w:name="point17"/>
      <w:proofErr w:type="gramStart"/>
      <w:r w:rsidRPr="0088512D">
        <w:rPr>
          <w:rFonts w:ascii="Times New Roman" w:hAnsi="Times New Roman"/>
          <w:sz w:val="24"/>
          <w:szCs w:val="24"/>
          <w:lang w:val="en-US"/>
        </w:rPr>
        <w:t>17</w:t>
      </w:r>
      <w:bookmarkEnd w:id="18"/>
      <w:r w:rsidRPr="0088512D">
        <w:rPr>
          <w:rFonts w:ascii="Times New Roman" w:hAnsi="Times New Roman"/>
          <w:sz w:val="24"/>
          <w:szCs w:val="24"/>
          <w:lang w:val="en-US"/>
        </w:rPr>
        <w:t xml:space="preserve">      As a preliminary point, it should be borne in mind that the Commission, which is entrusted by Article 105(1) TFEU with the task of ensuring the application of Articles 101 TFEU and 102 TFEU, is responsible for defining and implementing the competition policy of the European Union and for that purpose has a discretion as to how it deals with complaints </w:t>
      </w:r>
      <w:r w:rsidRPr="0088512D">
        <w:rPr>
          <w:rFonts w:ascii="Times New Roman" w:hAnsi="Times New Roman"/>
          <w:sz w:val="24"/>
          <w:szCs w:val="24"/>
          <w:lang w:val="en-US"/>
        </w:rPr>
        <w:lastRenderedPageBreak/>
        <w:t xml:space="preserve">(see judgment of 16 October 2013 in </w:t>
      </w:r>
      <w:r w:rsidRPr="0088512D">
        <w:rPr>
          <w:rFonts w:ascii="Times New Roman" w:hAnsi="Times New Roman"/>
          <w:i/>
          <w:iCs/>
          <w:sz w:val="24"/>
          <w:szCs w:val="24"/>
          <w:lang w:val="en-US"/>
        </w:rPr>
        <w:t>Vivendi</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432/10, EU:T:2013:538, paragraph 22 and the case-law cited).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The Court of Justice has also pointed out that Article 13 of and recital 18 in the preamble to Regulation No 1/2003 reflect the broad discretion which the national authorities joined together in the network of competition authorities have in order to ensure an optimal attribution of cases within the latter (judgment of 14 February 2012 in </w:t>
      </w:r>
      <w:r w:rsidRPr="0088512D">
        <w:rPr>
          <w:rFonts w:ascii="Times New Roman" w:hAnsi="Times New Roman"/>
          <w:i/>
          <w:iCs/>
          <w:sz w:val="24"/>
          <w:szCs w:val="24"/>
          <w:lang w:val="en-US"/>
        </w:rPr>
        <w:t>Toshiba Corporation and Others</w:t>
      </w:r>
      <w:r w:rsidRPr="0088512D">
        <w:rPr>
          <w:rFonts w:ascii="Times New Roman" w:hAnsi="Times New Roman"/>
          <w:sz w:val="24"/>
          <w:szCs w:val="24"/>
          <w:lang w:val="en-US"/>
        </w:rPr>
        <w:t>, C</w:t>
      </w:r>
      <w:r w:rsidRPr="0088512D">
        <w:rPr>
          <w:rFonts w:ascii="Times New Roman" w:hAnsi="Times New Roman"/>
          <w:sz w:val="24"/>
          <w:szCs w:val="24"/>
          <w:lang w:val="en-US"/>
        </w:rPr>
        <w:noBreakHyphen/>
        <w:t>17/10, ECR, EU:C:2012:72, paragraph 90).</w:t>
      </w:r>
      <w:proofErr w:type="gramEnd"/>
      <w:r w:rsidRPr="0088512D">
        <w:rPr>
          <w:rFonts w:ascii="Times New Roman" w:hAnsi="Times New Roman"/>
          <w:sz w:val="24"/>
          <w:szCs w:val="24"/>
          <w:lang w:val="en-US"/>
        </w:rPr>
        <w:t xml:space="preserve"> Given the role assigned to the Commission by the TFEU in defining and implementing competition policy, the Commission, </w:t>
      </w:r>
      <w:r w:rsidRPr="0088512D">
        <w:rPr>
          <w:rFonts w:ascii="Times New Roman" w:hAnsi="Times New Roman"/>
          <w:i/>
          <w:iCs/>
          <w:sz w:val="24"/>
          <w:szCs w:val="24"/>
          <w:lang w:val="en-US"/>
        </w:rPr>
        <w:t>a fortiori</w:t>
      </w:r>
      <w:r w:rsidRPr="0088512D">
        <w:rPr>
          <w:rFonts w:ascii="Times New Roman" w:hAnsi="Times New Roman"/>
          <w:sz w:val="24"/>
          <w:szCs w:val="24"/>
          <w:lang w:val="en-US"/>
        </w:rPr>
        <w:t>, also has a broad discretion when applying Article 13 of Regulation No 1/2003.</w:t>
      </w:r>
    </w:p>
    <w:p w:rsidR="00AE47CC" w:rsidRPr="0088512D" w:rsidRDefault="00AE47CC" w:rsidP="00AE47CC">
      <w:pPr>
        <w:jc w:val="both"/>
        <w:rPr>
          <w:rFonts w:ascii="Times New Roman" w:hAnsi="Times New Roman"/>
          <w:sz w:val="24"/>
          <w:szCs w:val="24"/>
          <w:lang w:val="en-US"/>
        </w:rPr>
      </w:pPr>
      <w:bookmarkStart w:id="19" w:name="point18"/>
      <w:r w:rsidRPr="0088512D">
        <w:rPr>
          <w:rFonts w:ascii="Times New Roman" w:hAnsi="Times New Roman"/>
          <w:sz w:val="24"/>
          <w:szCs w:val="24"/>
          <w:lang w:val="en-US"/>
        </w:rPr>
        <w:t>18</w:t>
      </w:r>
      <w:bookmarkEnd w:id="19"/>
      <w:r w:rsidRPr="0088512D">
        <w:rPr>
          <w:rFonts w:ascii="Times New Roman" w:hAnsi="Times New Roman"/>
          <w:sz w:val="24"/>
          <w:szCs w:val="24"/>
          <w:lang w:val="en-US"/>
        </w:rPr>
        <w:t xml:space="preserve">      The </w:t>
      </w:r>
      <w:proofErr w:type="gramStart"/>
      <w:r w:rsidRPr="0088512D">
        <w:rPr>
          <w:rFonts w:ascii="Times New Roman" w:hAnsi="Times New Roman"/>
          <w:sz w:val="24"/>
          <w:szCs w:val="24"/>
          <w:lang w:val="en-US"/>
        </w:rPr>
        <w:t>case-law</w:t>
      </w:r>
      <w:proofErr w:type="gramEnd"/>
      <w:r w:rsidRPr="0088512D">
        <w:rPr>
          <w:rFonts w:ascii="Times New Roman" w:hAnsi="Times New Roman"/>
          <w:sz w:val="24"/>
          <w:szCs w:val="24"/>
          <w:lang w:val="en-US"/>
        </w:rPr>
        <w:t xml:space="preserve"> relating to the assessment of the European Union’s interest has, however, drawn attention to the fact that the Commission’s discretion is not unlimited. The Commission must take into consideration all the relevant matters of law and of fact in order to decide on what action to take in response to a complaint. More particularly, it must consider attentively all the matters of fact and of law which the complainant brings to its attention (see judgment of 17 May 2001 in </w:t>
      </w:r>
      <w:r w:rsidRPr="0088512D">
        <w:rPr>
          <w:rFonts w:ascii="Times New Roman" w:hAnsi="Times New Roman"/>
          <w:i/>
          <w:iCs/>
          <w:sz w:val="24"/>
          <w:szCs w:val="24"/>
          <w:lang w:val="en-US"/>
        </w:rPr>
        <w:t>IECC</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450/98 P, ECR, EU</w:t>
      </w:r>
      <w:proofErr w:type="gramStart"/>
      <w:r w:rsidRPr="0088512D">
        <w:rPr>
          <w:rFonts w:ascii="Times New Roman" w:hAnsi="Times New Roman"/>
          <w:sz w:val="24"/>
          <w:szCs w:val="24"/>
          <w:lang w:val="en-US"/>
        </w:rPr>
        <w:t>:C:2001:276</w:t>
      </w:r>
      <w:proofErr w:type="gramEnd"/>
      <w:r w:rsidRPr="0088512D">
        <w:rPr>
          <w:rFonts w:ascii="Times New Roman" w:hAnsi="Times New Roman"/>
          <w:sz w:val="24"/>
          <w:szCs w:val="24"/>
          <w:lang w:val="en-US"/>
        </w:rPr>
        <w:t>, paragraph 57 and the case-law cited).</w:t>
      </w:r>
    </w:p>
    <w:p w:rsidR="00AE47CC" w:rsidRPr="0088512D" w:rsidRDefault="00AE47CC" w:rsidP="00AE47CC">
      <w:pPr>
        <w:jc w:val="both"/>
        <w:rPr>
          <w:rFonts w:ascii="Times New Roman" w:hAnsi="Times New Roman"/>
          <w:sz w:val="24"/>
          <w:szCs w:val="24"/>
          <w:lang w:val="en-US"/>
        </w:rPr>
      </w:pPr>
      <w:bookmarkStart w:id="20" w:name="point19"/>
      <w:proofErr w:type="gramStart"/>
      <w:r w:rsidRPr="0088512D">
        <w:rPr>
          <w:rFonts w:ascii="Times New Roman" w:hAnsi="Times New Roman"/>
          <w:sz w:val="24"/>
          <w:szCs w:val="24"/>
          <w:lang w:val="en-US"/>
        </w:rPr>
        <w:t>19</w:t>
      </w:r>
      <w:bookmarkEnd w:id="20"/>
      <w:r w:rsidRPr="0088512D">
        <w:rPr>
          <w:rFonts w:ascii="Times New Roman" w:hAnsi="Times New Roman"/>
          <w:sz w:val="24"/>
          <w:szCs w:val="24"/>
          <w:lang w:val="en-US"/>
        </w:rPr>
        <w:t xml:space="preserve">      In that regard, it follows from settled case-law that, where the institutions have a broad discretion, respect for the rights guaranteed by the legal order of the European Union in administrative procedures is of even more fundamental importance; those guarantees include, in particular, the duty of the competent institution to examine carefully and impartially all the relevant aspects of the individual case (see judgment of 17 December 2008 in </w:t>
      </w:r>
      <w:r w:rsidRPr="0088512D">
        <w:rPr>
          <w:rFonts w:ascii="Times New Roman" w:hAnsi="Times New Roman"/>
          <w:i/>
          <w:iCs/>
          <w:sz w:val="24"/>
          <w:szCs w:val="24"/>
          <w:lang w:val="en-US"/>
        </w:rPr>
        <w:t>HEG and Graphite India</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Council</w:t>
      </w:r>
      <w:r w:rsidRPr="0088512D">
        <w:rPr>
          <w:rFonts w:ascii="Times New Roman" w:hAnsi="Times New Roman"/>
          <w:sz w:val="24"/>
          <w:szCs w:val="24"/>
          <w:lang w:val="en-US"/>
        </w:rPr>
        <w:t>, T</w:t>
      </w:r>
      <w:r w:rsidRPr="0088512D">
        <w:rPr>
          <w:rFonts w:ascii="Times New Roman" w:hAnsi="Times New Roman"/>
          <w:sz w:val="24"/>
          <w:szCs w:val="24"/>
          <w:lang w:val="en-US"/>
        </w:rPr>
        <w:noBreakHyphen/>
        <w:t>462/04, ECR, EU:T:2008:586, paragraph 68 and the case-law cited).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However, review by the Courts of the European Union of the Commission’s exercise of the discretion conferred on it in this regard must not lead them to substitute their assessment of the European Union interest for that of the Commission, but must focus on whether the contested decision is based on materially incorrect facts, or is vitiated by an error of law, manifest error of appraisal or misuse of powers (see judgment of 15 December 2010 in </w:t>
      </w:r>
      <w:r w:rsidRPr="0088512D">
        <w:rPr>
          <w:rFonts w:ascii="Times New Roman" w:hAnsi="Times New Roman"/>
          <w:i/>
          <w:iCs/>
          <w:sz w:val="24"/>
          <w:szCs w:val="24"/>
          <w:lang w:val="en-US"/>
        </w:rPr>
        <w:t>CEAHR</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427/08, ECR, EU:T:2010:517, paragraph 65 and the case-law cited).</w:t>
      </w:r>
      <w:proofErr w:type="gramEnd"/>
    </w:p>
    <w:p w:rsidR="00AE47CC" w:rsidRPr="0088512D" w:rsidRDefault="00AE47CC" w:rsidP="00AE47CC">
      <w:pPr>
        <w:jc w:val="both"/>
        <w:rPr>
          <w:rFonts w:ascii="Times New Roman" w:hAnsi="Times New Roman"/>
          <w:sz w:val="24"/>
          <w:szCs w:val="24"/>
          <w:lang w:val="en-US"/>
        </w:rPr>
      </w:pPr>
      <w:bookmarkStart w:id="21" w:name="point20"/>
      <w:proofErr w:type="gramStart"/>
      <w:r w:rsidRPr="0088512D">
        <w:rPr>
          <w:rFonts w:ascii="Times New Roman" w:hAnsi="Times New Roman"/>
          <w:sz w:val="24"/>
          <w:szCs w:val="24"/>
          <w:lang w:val="en-US"/>
        </w:rPr>
        <w:t>20</w:t>
      </w:r>
      <w:bookmarkEnd w:id="21"/>
      <w:r w:rsidRPr="0088512D">
        <w:rPr>
          <w:rFonts w:ascii="Times New Roman" w:hAnsi="Times New Roman"/>
          <w:sz w:val="24"/>
          <w:szCs w:val="24"/>
          <w:lang w:val="en-US"/>
        </w:rPr>
        <w:t>      With regard to the judicial review of a Commission decision based on Article 13(2) of Regulation No 1/2003, the purpose of that review is to verify that the contested decision is not based on materially incorrect facts and that the Commission has not erred in law, made a manifest error of assessment or misused its powers in finding that a competition authority of a Member State has already dealt with a complaint.</w:t>
      </w:r>
      <w:proofErr w:type="gramEnd"/>
      <w:r w:rsidRPr="0088512D">
        <w:rPr>
          <w:rFonts w:ascii="Times New Roman" w:hAnsi="Times New Roman"/>
          <w:sz w:val="24"/>
          <w:szCs w:val="24"/>
          <w:lang w:val="en-US"/>
        </w:rPr>
        <w:t xml:space="preserve"> It is necessary, by contrast, to bear in mind that review of decisions of the competition authorities of Member States is a matter for national courts alone, which perform an essential function in the application of EU competition rules.</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xml:space="preserve"> The first limb of the first plea, alleging an error of law </w:t>
      </w:r>
    </w:p>
    <w:p w:rsidR="00AE47CC" w:rsidRPr="0088512D" w:rsidRDefault="00AE47CC" w:rsidP="00AE47CC">
      <w:pPr>
        <w:jc w:val="both"/>
        <w:rPr>
          <w:rFonts w:ascii="Times New Roman" w:hAnsi="Times New Roman"/>
          <w:sz w:val="24"/>
          <w:szCs w:val="24"/>
          <w:lang w:val="en-US"/>
        </w:rPr>
      </w:pPr>
      <w:bookmarkStart w:id="22" w:name="point21"/>
      <w:proofErr w:type="gramStart"/>
      <w:r w:rsidRPr="0088512D">
        <w:rPr>
          <w:rFonts w:ascii="Times New Roman" w:hAnsi="Times New Roman"/>
          <w:sz w:val="24"/>
          <w:szCs w:val="24"/>
          <w:lang w:val="en-US"/>
        </w:rPr>
        <w:t>21</w:t>
      </w:r>
      <w:bookmarkEnd w:id="22"/>
      <w:r w:rsidRPr="0088512D">
        <w:rPr>
          <w:rFonts w:ascii="Times New Roman" w:hAnsi="Times New Roman"/>
          <w:sz w:val="24"/>
          <w:szCs w:val="24"/>
          <w:lang w:val="en-US"/>
        </w:rPr>
        <w:t>      The applicant submits that the concept of a case having been dealt with by a competition authority of a Member State within the meaning of Article 13(2) of Regulation No 1/2003 — whereupon the Commission may, under that provision, reject a complaint — must be construed in the light of Article 5 of that regulation, which refers to the different types of decision that may be taken by that authority.</w:t>
      </w:r>
      <w:proofErr w:type="gramEnd"/>
      <w:r w:rsidRPr="0088512D">
        <w:rPr>
          <w:rFonts w:ascii="Times New Roman" w:hAnsi="Times New Roman"/>
          <w:sz w:val="24"/>
          <w:szCs w:val="24"/>
          <w:lang w:val="en-US"/>
        </w:rPr>
        <w:t xml:space="preserve"> Consequently, in the applicant’s view, a case </w:t>
      </w:r>
      <w:proofErr w:type="gramStart"/>
      <w:r w:rsidRPr="0088512D">
        <w:rPr>
          <w:rFonts w:ascii="Times New Roman" w:hAnsi="Times New Roman"/>
          <w:sz w:val="24"/>
          <w:szCs w:val="24"/>
          <w:lang w:val="en-US"/>
        </w:rPr>
        <w:t>may be considered</w:t>
      </w:r>
      <w:proofErr w:type="gramEnd"/>
      <w:r w:rsidRPr="0088512D">
        <w:rPr>
          <w:rFonts w:ascii="Times New Roman" w:hAnsi="Times New Roman"/>
          <w:sz w:val="24"/>
          <w:szCs w:val="24"/>
          <w:lang w:val="en-US"/>
        </w:rPr>
        <w:t xml:space="preserve"> to have been dealt with by a national authority only if that authority has at least decided that there are no grounds for action, following a preliminary investigation. By contrast, that authority </w:t>
      </w:r>
      <w:proofErr w:type="gramStart"/>
      <w:r w:rsidRPr="0088512D">
        <w:rPr>
          <w:rFonts w:ascii="Times New Roman" w:hAnsi="Times New Roman"/>
          <w:sz w:val="24"/>
          <w:szCs w:val="24"/>
          <w:lang w:val="en-US"/>
        </w:rPr>
        <w:t>cannot be regarded</w:t>
      </w:r>
      <w:proofErr w:type="gramEnd"/>
      <w:r w:rsidRPr="0088512D">
        <w:rPr>
          <w:rFonts w:ascii="Times New Roman" w:hAnsi="Times New Roman"/>
          <w:sz w:val="24"/>
          <w:szCs w:val="24"/>
          <w:lang w:val="en-US"/>
        </w:rPr>
        <w:t xml:space="preserve"> as having dealt with the case, within the meaning of Article 13(2) </w:t>
      </w:r>
      <w:r w:rsidRPr="0088512D">
        <w:rPr>
          <w:rFonts w:ascii="Times New Roman" w:hAnsi="Times New Roman"/>
          <w:sz w:val="24"/>
          <w:szCs w:val="24"/>
          <w:lang w:val="en-US"/>
        </w:rPr>
        <w:lastRenderedPageBreak/>
        <w:t>of that regulation, where it has merely rejected it on priority grounds. That interpretation, the applicant submits, is borne out by paragraph 20 of the Commission Notice on Cooperation within the Network of Competition Authorities (OJ 2004 C 101, p. 43) (‘the notice on cooperation within the network of competition authorities’).</w:t>
      </w:r>
    </w:p>
    <w:p w:rsidR="00AE47CC" w:rsidRPr="0088512D" w:rsidRDefault="00AE47CC" w:rsidP="00AE47CC">
      <w:pPr>
        <w:jc w:val="both"/>
        <w:rPr>
          <w:rFonts w:ascii="Times New Roman" w:hAnsi="Times New Roman"/>
          <w:sz w:val="24"/>
          <w:szCs w:val="24"/>
          <w:lang w:val="en-US"/>
        </w:rPr>
      </w:pPr>
      <w:bookmarkStart w:id="23" w:name="point22"/>
      <w:r w:rsidRPr="0088512D">
        <w:rPr>
          <w:rFonts w:ascii="Times New Roman" w:hAnsi="Times New Roman"/>
          <w:sz w:val="24"/>
          <w:szCs w:val="24"/>
          <w:lang w:val="en-US"/>
        </w:rPr>
        <w:t>22</w:t>
      </w:r>
      <w:bookmarkEnd w:id="23"/>
      <w:r w:rsidRPr="0088512D">
        <w:rPr>
          <w:rFonts w:ascii="Times New Roman" w:hAnsi="Times New Roman"/>
          <w:sz w:val="24"/>
          <w:szCs w:val="24"/>
          <w:lang w:val="en-US"/>
        </w:rPr>
        <w:t xml:space="preserve">      The Commission and the intervener dispute the applicant’s arguments. </w:t>
      </w:r>
    </w:p>
    <w:p w:rsidR="00AE47CC" w:rsidRPr="0088512D" w:rsidRDefault="00AE47CC" w:rsidP="00AE47CC">
      <w:pPr>
        <w:jc w:val="both"/>
        <w:rPr>
          <w:rFonts w:ascii="Times New Roman" w:hAnsi="Times New Roman"/>
          <w:sz w:val="24"/>
          <w:szCs w:val="24"/>
          <w:lang w:val="en-US"/>
        </w:rPr>
      </w:pPr>
      <w:bookmarkStart w:id="24" w:name="point23"/>
      <w:r w:rsidRPr="0088512D">
        <w:rPr>
          <w:rFonts w:ascii="Times New Roman" w:hAnsi="Times New Roman"/>
          <w:sz w:val="24"/>
          <w:szCs w:val="24"/>
          <w:lang w:val="en-US"/>
        </w:rPr>
        <w:t>23</w:t>
      </w:r>
      <w:bookmarkEnd w:id="24"/>
      <w:r w:rsidRPr="0088512D">
        <w:rPr>
          <w:rFonts w:ascii="Times New Roman" w:hAnsi="Times New Roman"/>
          <w:sz w:val="24"/>
          <w:szCs w:val="24"/>
          <w:lang w:val="en-US"/>
        </w:rPr>
        <w:t>      Under Article 13(2) of Regulation No 1/2003, ‘[w]here a competition authority of a Member State or the Commission has received a complaint against an agreement, decision of an association or practice which has already been dealt with by another competition authority, it may reject it’.</w:t>
      </w:r>
    </w:p>
    <w:p w:rsidR="00AE47CC" w:rsidRPr="0088512D" w:rsidRDefault="00AE47CC" w:rsidP="00AE47CC">
      <w:pPr>
        <w:jc w:val="both"/>
        <w:rPr>
          <w:rFonts w:ascii="Times New Roman" w:hAnsi="Times New Roman"/>
          <w:sz w:val="24"/>
          <w:szCs w:val="24"/>
          <w:lang w:val="en-US"/>
        </w:rPr>
      </w:pPr>
      <w:bookmarkStart w:id="25" w:name="point24"/>
      <w:proofErr w:type="gramStart"/>
      <w:r w:rsidRPr="0088512D">
        <w:rPr>
          <w:rFonts w:ascii="Times New Roman" w:hAnsi="Times New Roman"/>
          <w:sz w:val="24"/>
          <w:szCs w:val="24"/>
          <w:lang w:val="en-US"/>
        </w:rPr>
        <w:t>24</w:t>
      </w:r>
      <w:bookmarkEnd w:id="25"/>
      <w:r w:rsidRPr="0088512D">
        <w:rPr>
          <w:rFonts w:ascii="Times New Roman" w:hAnsi="Times New Roman"/>
          <w:sz w:val="24"/>
          <w:szCs w:val="24"/>
          <w:lang w:val="en-US"/>
        </w:rPr>
        <w:t xml:space="preserve">      In accordance with settled case-law, it is necessary, in interpreting a provision of EU law, to consider not only its wording but also the context in which it occurs and the objectives pursued by the rules of which it is part (see judgments of 7 June 2005 in </w:t>
      </w:r>
      <w:r w:rsidRPr="0088512D">
        <w:rPr>
          <w:rFonts w:ascii="Times New Roman" w:hAnsi="Times New Roman"/>
          <w:i/>
          <w:iCs/>
          <w:sz w:val="24"/>
          <w:szCs w:val="24"/>
          <w:lang w:val="en-US"/>
        </w:rPr>
        <w:t>VEMW and Others</w:t>
      </w:r>
      <w:r w:rsidRPr="0088512D">
        <w:rPr>
          <w:rFonts w:ascii="Times New Roman" w:hAnsi="Times New Roman"/>
          <w:sz w:val="24"/>
          <w:szCs w:val="24"/>
          <w:lang w:val="en-US"/>
        </w:rPr>
        <w:t>, C</w:t>
      </w:r>
      <w:r w:rsidRPr="0088512D">
        <w:rPr>
          <w:rFonts w:ascii="Times New Roman" w:hAnsi="Times New Roman"/>
          <w:sz w:val="24"/>
          <w:szCs w:val="24"/>
          <w:lang w:val="en-US"/>
        </w:rPr>
        <w:noBreakHyphen/>
        <w:t xml:space="preserve">17/03, ECR, EU:C:2005:362, paragraph 41 and the case-law cited, and of 26 October 2010 in </w:t>
      </w:r>
      <w:r w:rsidRPr="0088512D">
        <w:rPr>
          <w:rFonts w:ascii="Times New Roman" w:hAnsi="Times New Roman"/>
          <w:i/>
          <w:iCs/>
          <w:sz w:val="24"/>
          <w:szCs w:val="24"/>
          <w:lang w:val="en-US"/>
        </w:rPr>
        <w:t>Germany</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236/07, ECR, EU:T:2010:451, paragraph 44 and the case-law cited).</w:t>
      </w:r>
      <w:proofErr w:type="gramEnd"/>
    </w:p>
    <w:p w:rsidR="00AE47CC" w:rsidRPr="0088512D" w:rsidRDefault="00AE47CC" w:rsidP="00AE47CC">
      <w:pPr>
        <w:jc w:val="both"/>
        <w:rPr>
          <w:rFonts w:ascii="Times New Roman" w:hAnsi="Times New Roman"/>
          <w:sz w:val="24"/>
          <w:szCs w:val="24"/>
          <w:lang w:val="en-US"/>
        </w:rPr>
      </w:pPr>
      <w:bookmarkStart w:id="26" w:name="point25"/>
      <w:proofErr w:type="gramStart"/>
      <w:r w:rsidRPr="0088512D">
        <w:rPr>
          <w:rFonts w:ascii="Times New Roman" w:hAnsi="Times New Roman"/>
          <w:sz w:val="24"/>
          <w:szCs w:val="24"/>
          <w:lang w:val="en-US"/>
        </w:rPr>
        <w:t>25</w:t>
      </w:r>
      <w:bookmarkEnd w:id="26"/>
      <w:r w:rsidRPr="0088512D">
        <w:rPr>
          <w:rFonts w:ascii="Times New Roman" w:hAnsi="Times New Roman"/>
          <w:sz w:val="24"/>
          <w:szCs w:val="24"/>
          <w:lang w:val="en-US"/>
        </w:rPr>
        <w:t>      It is in the light of those principles that is appropriate to consider whether the expression ‘complaint … which has already been dealt with by another competition authority’ contained in Article 13(2) of Regulation No 1/2003 must be understood as allowing the Commission to reject a complaint in a case where the competition authority of a Member State has previously rejected the same complaint on priority grounds.</w:t>
      </w:r>
      <w:proofErr w:type="gramEnd"/>
    </w:p>
    <w:p w:rsidR="00AE47CC" w:rsidRPr="0088512D" w:rsidRDefault="00AE47CC" w:rsidP="00AE47CC">
      <w:pPr>
        <w:jc w:val="both"/>
        <w:rPr>
          <w:rFonts w:ascii="Times New Roman" w:hAnsi="Times New Roman"/>
          <w:sz w:val="24"/>
          <w:szCs w:val="24"/>
          <w:lang w:val="en-US"/>
        </w:rPr>
      </w:pPr>
      <w:bookmarkStart w:id="27" w:name="point26"/>
      <w:proofErr w:type="gramStart"/>
      <w:r w:rsidRPr="0088512D">
        <w:rPr>
          <w:rFonts w:ascii="Times New Roman" w:hAnsi="Times New Roman"/>
          <w:sz w:val="24"/>
          <w:szCs w:val="24"/>
          <w:lang w:val="en-US"/>
        </w:rPr>
        <w:t>26</w:t>
      </w:r>
      <w:bookmarkEnd w:id="27"/>
      <w:r w:rsidRPr="0088512D">
        <w:rPr>
          <w:rFonts w:ascii="Times New Roman" w:hAnsi="Times New Roman"/>
          <w:sz w:val="24"/>
          <w:szCs w:val="24"/>
          <w:lang w:val="en-US"/>
        </w:rPr>
        <w:t>      First of all, it appears that the answer to the question whether the Commission may reject a complaint which has previously been rejected by a competition authority of a Member State on priority grounds may be inferred from a literal interpretation of Article 13(2) of Regulation No 1/2003, in the light of the plain meaning of the expression ‘complaint … which has already been dealt with by another competition authority’.</w:t>
      </w:r>
      <w:proofErr w:type="gramEnd"/>
      <w:r w:rsidRPr="0088512D">
        <w:rPr>
          <w:rFonts w:ascii="Times New Roman" w:hAnsi="Times New Roman"/>
          <w:sz w:val="24"/>
          <w:szCs w:val="24"/>
          <w:lang w:val="en-US"/>
        </w:rPr>
        <w:t xml:space="preserve"> It should, in that regard, be noted that that expression is broad in scope in that it is capable of including all cases of </w:t>
      </w:r>
      <w:proofErr w:type="gramStart"/>
      <w:r w:rsidRPr="0088512D">
        <w:rPr>
          <w:rFonts w:ascii="Times New Roman" w:hAnsi="Times New Roman"/>
          <w:sz w:val="24"/>
          <w:szCs w:val="24"/>
          <w:lang w:val="en-US"/>
        </w:rPr>
        <w:t>complaints which</w:t>
      </w:r>
      <w:proofErr w:type="gramEnd"/>
      <w:r w:rsidRPr="0088512D">
        <w:rPr>
          <w:rFonts w:ascii="Times New Roman" w:hAnsi="Times New Roman"/>
          <w:sz w:val="24"/>
          <w:szCs w:val="24"/>
          <w:lang w:val="en-US"/>
        </w:rPr>
        <w:t xml:space="preserve"> have been examined by another competition authority, whatever may have been the outcome. The legislature has thus chosen not to limit the scope of that article solely to cases of </w:t>
      </w:r>
      <w:proofErr w:type="gramStart"/>
      <w:r w:rsidRPr="0088512D">
        <w:rPr>
          <w:rFonts w:ascii="Times New Roman" w:hAnsi="Times New Roman"/>
          <w:sz w:val="24"/>
          <w:szCs w:val="24"/>
          <w:lang w:val="en-US"/>
        </w:rPr>
        <w:t>complaints which</w:t>
      </w:r>
      <w:proofErr w:type="gramEnd"/>
      <w:r w:rsidRPr="0088512D">
        <w:rPr>
          <w:rFonts w:ascii="Times New Roman" w:hAnsi="Times New Roman"/>
          <w:sz w:val="24"/>
          <w:szCs w:val="24"/>
          <w:lang w:val="en-US"/>
        </w:rPr>
        <w:t xml:space="preserve"> have already been the subject of a decision by another competition authority.</w:t>
      </w:r>
    </w:p>
    <w:p w:rsidR="00AE47CC" w:rsidRPr="0088512D" w:rsidRDefault="00AE47CC" w:rsidP="00AE47CC">
      <w:pPr>
        <w:jc w:val="both"/>
        <w:rPr>
          <w:rFonts w:ascii="Times New Roman" w:hAnsi="Times New Roman"/>
          <w:sz w:val="24"/>
          <w:szCs w:val="24"/>
          <w:lang w:val="en-US"/>
        </w:rPr>
      </w:pPr>
      <w:bookmarkStart w:id="28" w:name="point27"/>
      <w:r w:rsidRPr="0088512D">
        <w:rPr>
          <w:rFonts w:ascii="Times New Roman" w:hAnsi="Times New Roman"/>
          <w:sz w:val="24"/>
          <w:szCs w:val="24"/>
          <w:lang w:val="en-US"/>
        </w:rPr>
        <w:t>27</w:t>
      </w:r>
      <w:bookmarkEnd w:id="28"/>
      <w:r w:rsidRPr="0088512D">
        <w:rPr>
          <w:rFonts w:ascii="Times New Roman" w:hAnsi="Times New Roman"/>
          <w:sz w:val="24"/>
          <w:szCs w:val="24"/>
          <w:lang w:val="en-US"/>
        </w:rPr>
        <w:t xml:space="preserve">      Secondly, the interpretation set out in paragraph 26 above also appears to be consistent with the general scheme of Regulation No 1/2003. It is important to read Article 13(2) of the regulation in the light of paragraph (1) of that article, which provides that the Commission may reject a complaint in the case where another competition authority of a Member State is dealing with it. It therefore appears that what matters is not the outcome of the review of the complaint by that competition authority, but the fact that </w:t>
      </w:r>
      <w:proofErr w:type="gramStart"/>
      <w:r w:rsidRPr="0088512D">
        <w:rPr>
          <w:rFonts w:ascii="Times New Roman" w:hAnsi="Times New Roman"/>
          <w:sz w:val="24"/>
          <w:szCs w:val="24"/>
          <w:lang w:val="en-US"/>
        </w:rPr>
        <w:t>it has been reviewed by that authority</w:t>
      </w:r>
      <w:proofErr w:type="gramEnd"/>
      <w:r w:rsidRPr="0088512D">
        <w:rPr>
          <w:rFonts w:ascii="Times New Roman" w:hAnsi="Times New Roman"/>
          <w:sz w:val="24"/>
          <w:szCs w:val="24"/>
          <w:lang w:val="en-US"/>
        </w:rPr>
        <w:t>.</w:t>
      </w:r>
    </w:p>
    <w:p w:rsidR="00AE47CC" w:rsidRPr="0088512D" w:rsidRDefault="00AE47CC" w:rsidP="00AE47CC">
      <w:pPr>
        <w:jc w:val="both"/>
        <w:rPr>
          <w:rFonts w:ascii="Times New Roman" w:hAnsi="Times New Roman"/>
          <w:sz w:val="24"/>
          <w:szCs w:val="24"/>
          <w:lang w:val="en-US"/>
        </w:rPr>
      </w:pPr>
      <w:bookmarkStart w:id="29" w:name="point28"/>
      <w:proofErr w:type="gramStart"/>
      <w:r w:rsidRPr="0088512D">
        <w:rPr>
          <w:rFonts w:ascii="Times New Roman" w:hAnsi="Times New Roman"/>
          <w:sz w:val="24"/>
          <w:szCs w:val="24"/>
          <w:lang w:val="en-US"/>
        </w:rPr>
        <w:t>28</w:t>
      </w:r>
      <w:bookmarkEnd w:id="29"/>
      <w:r w:rsidRPr="0088512D">
        <w:rPr>
          <w:rFonts w:ascii="Times New Roman" w:hAnsi="Times New Roman"/>
          <w:sz w:val="24"/>
          <w:szCs w:val="24"/>
          <w:lang w:val="en-US"/>
        </w:rPr>
        <w:t xml:space="preserve">      The interpretation set out in paragraph 26 above is also supported by recital 18 in the preamble to Regulation No 1/2003, which relates to Article 13 thereof (judgment in </w:t>
      </w:r>
      <w:r w:rsidRPr="0088512D">
        <w:rPr>
          <w:rFonts w:ascii="Times New Roman" w:hAnsi="Times New Roman"/>
          <w:i/>
          <w:iCs/>
          <w:sz w:val="24"/>
          <w:szCs w:val="24"/>
          <w:lang w:val="en-US"/>
        </w:rPr>
        <w:t>Toshiba Corporation and Others</w:t>
      </w:r>
      <w:r w:rsidRPr="0088512D">
        <w:rPr>
          <w:rFonts w:ascii="Times New Roman" w:hAnsi="Times New Roman"/>
          <w:sz w:val="24"/>
          <w:szCs w:val="24"/>
          <w:lang w:val="en-US"/>
        </w:rPr>
        <w:t>, paragraph 17 above, EU:C:2012:72, paragraph 90) and which states that ‘[t]his provision should not prevent the Commission from rejecting a complaint for lack of Community interest, as the case-law of the Court of Justice has acknowledged it may do, even if no other competition authority has indicated its intention of dealing with the case’.</w:t>
      </w:r>
      <w:proofErr w:type="gramEnd"/>
      <w:r w:rsidRPr="0088512D">
        <w:rPr>
          <w:rFonts w:ascii="Times New Roman" w:hAnsi="Times New Roman"/>
          <w:sz w:val="24"/>
          <w:szCs w:val="24"/>
          <w:lang w:val="en-US"/>
        </w:rPr>
        <w:t xml:space="preserve"> Since the Commission may decide to dismiss a complaint for lack of Community interest, even though </w:t>
      </w:r>
      <w:proofErr w:type="gramStart"/>
      <w:r w:rsidRPr="0088512D">
        <w:rPr>
          <w:rFonts w:ascii="Times New Roman" w:hAnsi="Times New Roman"/>
          <w:sz w:val="24"/>
          <w:szCs w:val="24"/>
          <w:lang w:val="en-US"/>
        </w:rPr>
        <w:t>it has not been dealt with by a competition authority of a Member State</w:t>
      </w:r>
      <w:proofErr w:type="gramEnd"/>
      <w:r w:rsidRPr="0088512D">
        <w:rPr>
          <w:rFonts w:ascii="Times New Roman" w:hAnsi="Times New Roman"/>
          <w:sz w:val="24"/>
          <w:szCs w:val="24"/>
          <w:lang w:val="en-US"/>
        </w:rPr>
        <w:t xml:space="preserve">, the Commission may, </w:t>
      </w:r>
      <w:r w:rsidRPr="0088512D">
        <w:rPr>
          <w:rFonts w:ascii="Times New Roman" w:hAnsi="Times New Roman"/>
          <w:i/>
          <w:iCs/>
          <w:sz w:val="24"/>
          <w:szCs w:val="24"/>
          <w:lang w:val="en-US"/>
        </w:rPr>
        <w:t xml:space="preserve">a </w:t>
      </w:r>
      <w:r w:rsidRPr="0088512D">
        <w:rPr>
          <w:rFonts w:ascii="Times New Roman" w:hAnsi="Times New Roman"/>
          <w:i/>
          <w:iCs/>
          <w:sz w:val="24"/>
          <w:szCs w:val="24"/>
          <w:lang w:val="en-US"/>
        </w:rPr>
        <w:lastRenderedPageBreak/>
        <w:t>fortiori</w:t>
      </w:r>
      <w:r w:rsidRPr="0088512D">
        <w:rPr>
          <w:rFonts w:ascii="Times New Roman" w:hAnsi="Times New Roman"/>
          <w:sz w:val="24"/>
          <w:szCs w:val="24"/>
          <w:lang w:val="en-US"/>
        </w:rPr>
        <w:t>, reject a complaint reviewed by that authority which has been rejected by the latter on priority grounds.</w:t>
      </w:r>
    </w:p>
    <w:p w:rsidR="00AE47CC" w:rsidRPr="0088512D" w:rsidRDefault="00AE47CC" w:rsidP="00AE47CC">
      <w:pPr>
        <w:jc w:val="both"/>
        <w:rPr>
          <w:rFonts w:ascii="Times New Roman" w:hAnsi="Times New Roman"/>
          <w:sz w:val="24"/>
          <w:szCs w:val="24"/>
          <w:lang w:val="en-US"/>
        </w:rPr>
      </w:pPr>
      <w:bookmarkStart w:id="30" w:name="point29"/>
      <w:r w:rsidRPr="0088512D">
        <w:rPr>
          <w:rFonts w:ascii="Times New Roman" w:hAnsi="Times New Roman"/>
          <w:sz w:val="24"/>
          <w:szCs w:val="24"/>
          <w:lang w:val="en-US"/>
        </w:rPr>
        <w:t>29</w:t>
      </w:r>
      <w:bookmarkEnd w:id="30"/>
      <w:r w:rsidRPr="0088512D">
        <w:rPr>
          <w:rFonts w:ascii="Times New Roman" w:hAnsi="Times New Roman"/>
          <w:sz w:val="24"/>
          <w:szCs w:val="24"/>
          <w:lang w:val="en-US"/>
        </w:rPr>
        <w:t xml:space="preserve">      The notice on cooperation within the network of competition authorities, which </w:t>
      </w:r>
      <w:proofErr w:type="gramStart"/>
      <w:r w:rsidRPr="0088512D">
        <w:rPr>
          <w:rFonts w:ascii="Times New Roman" w:hAnsi="Times New Roman"/>
          <w:sz w:val="24"/>
          <w:szCs w:val="24"/>
          <w:lang w:val="en-US"/>
        </w:rPr>
        <w:t>is designed</w:t>
      </w:r>
      <w:proofErr w:type="gramEnd"/>
      <w:r w:rsidRPr="0088512D">
        <w:rPr>
          <w:rFonts w:ascii="Times New Roman" w:hAnsi="Times New Roman"/>
          <w:sz w:val="24"/>
          <w:szCs w:val="24"/>
          <w:lang w:val="en-US"/>
        </w:rPr>
        <w:t xml:space="preserve"> to implement the provisions of Regulation No 1/2003, and on which the applicant relies, also supports the interpretation set out in paragraph 26 above. Paragraph 20 of the notice states that, ‘[</w:t>
      </w:r>
      <w:proofErr w:type="spellStart"/>
      <w:r w:rsidRPr="0088512D">
        <w:rPr>
          <w:rFonts w:ascii="Times New Roman" w:hAnsi="Times New Roman"/>
          <w:sz w:val="24"/>
          <w:szCs w:val="24"/>
          <w:lang w:val="en-US"/>
        </w:rPr>
        <w:t>i</w:t>
      </w:r>
      <w:proofErr w:type="spellEnd"/>
      <w:r w:rsidRPr="0088512D">
        <w:rPr>
          <w:rFonts w:ascii="Times New Roman" w:hAnsi="Times New Roman"/>
          <w:sz w:val="24"/>
          <w:szCs w:val="24"/>
          <w:lang w:val="en-US"/>
        </w:rPr>
        <w:t xml:space="preserve">]n Article 13 of [that regulation], “dealing with the case” does not merely mean that a complaint has been lodged with another authority. It means that the other authority is investigating or has investigated the case on its own behalf’. It </w:t>
      </w:r>
      <w:proofErr w:type="gramStart"/>
      <w:r w:rsidRPr="0088512D">
        <w:rPr>
          <w:rFonts w:ascii="Times New Roman" w:hAnsi="Times New Roman"/>
          <w:sz w:val="24"/>
          <w:szCs w:val="24"/>
          <w:lang w:val="en-US"/>
        </w:rPr>
        <w:t>does not, however, give</w:t>
      </w:r>
      <w:proofErr w:type="gramEnd"/>
      <w:r w:rsidRPr="0088512D">
        <w:rPr>
          <w:rFonts w:ascii="Times New Roman" w:hAnsi="Times New Roman"/>
          <w:sz w:val="24"/>
          <w:szCs w:val="24"/>
          <w:lang w:val="en-US"/>
        </w:rPr>
        <w:t xml:space="preserve"> any indication as to the finding reached by the competition authority of a Member State. </w:t>
      </w:r>
      <w:proofErr w:type="gramStart"/>
      <w:r w:rsidRPr="0088512D">
        <w:rPr>
          <w:rFonts w:ascii="Times New Roman" w:hAnsi="Times New Roman"/>
          <w:sz w:val="24"/>
          <w:szCs w:val="24"/>
          <w:lang w:val="en-US"/>
        </w:rPr>
        <w:t>Paragraph 22 of that notice expressly contemplates the case in which a complaint has been reviewed by a competition authority but rejected for reasons other than the investigation of the substance of the case; it gives the example of a case in which the authority was unable to collect the evidence necessary to prove the infringement, and states that it is important to be flexible in allowing another authority to carry out its own investigation and to deal with the case itself.</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The Court of Justice has, moreover, </w:t>
      </w:r>
      <w:proofErr w:type="spellStart"/>
      <w:r w:rsidRPr="0088512D">
        <w:rPr>
          <w:rFonts w:ascii="Times New Roman" w:hAnsi="Times New Roman"/>
          <w:sz w:val="24"/>
          <w:szCs w:val="24"/>
          <w:lang w:val="en-US"/>
        </w:rPr>
        <w:t>recognised</w:t>
      </w:r>
      <w:proofErr w:type="spellEnd"/>
      <w:r w:rsidRPr="0088512D">
        <w:rPr>
          <w:rFonts w:ascii="Times New Roman" w:hAnsi="Times New Roman"/>
          <w:sz w:val="24"/>
          <w:szCs w:val="24"/>
          <w:lang w:val="en-US"/>
        </w:rPr>
        <w:t xml:space="preserve"> the broad discretion which competition authorities enjoy in order to ensure optimal allocation of cases, stating, with regard to Article 13(1) of that regulation, that each authority has the possibility, but is not under any obligation, to reject a complaint which it has received, where another authority is already dealing with the same case (judgment in </w:t>
      </w:r>
      <w:r w:rsidRPr="0088512D">
        <w:rPr>
          <w:rFonts w:ascii="Times New Roman" w:hAnsi="Times New Roman"/>
          <w:i/>
          <w:iCs/>
          <w:sz w:val="24"/>
          <w:szCs w:val="24"/>
          <w:lang w:val="en-US"/>
        </w:rPr>
        <w:t>Toshiba Corporation and Others</w:t>
      </w:r>
      <w:r w:rsidRPr="0088512D">
        <w:rPr>
          <w:rFonts w:ascii="Times New Roman" w:hAnsi="Times New Roman"/>
          <w:sz w:val="24"/>
          <w:szCs w:val="24"/>
          <w:lang w:val="en-US"/>
        </w:rPr>
        <w:t>, paragraph 17 above, EU:C:2012:72, paragraph 90).</w:t>
      </w:r>
      <w:proofErr w:type="gramEnd"/>
    </w:p>
    <w:p w:rsidR="00AE47CC" w:rsidRPr="0088512D" w:rsidRDefault="00AE47CC" w:rsidP="00AE47CC">
      <w:pPr>
        <w:jc w:val="both"/>
        <w:rPr>
          <w:rFonts w:ascii="Times New Roman" w:hAnsi="Times New Roman"/>
          <w:sz w:val="24"/>
          <w:szCs w:val="24"/>
          <w:lang w:val="en-US"/>
        </w:rPr>
      </w:pPr>
      <w:bookmarkStart w:id="31" w:name="point30"/>
      <w:r w:rsidRPr="0088512D">
        <w:rPr>
          <w:rFonts w:ascii="Times New Roman" w:hAnsi="Times New Roman"/>
          <w:sz w:val="24"/>
          <w:szCs w:val="24"/>
          <w:lang w:val="en-US"/>
        </w:rPr>
        <w:t>30</w:t>
      </w:r>
      <w:bookmarkEnd w:id="31"/>
      <w:r w:rsidRPr="0088512D">
        <w:rPr>
          <w:rFonts w:ascii="Times New Roman" w:hAnsi="Times New Roman"/>
          <w:sz w:val="24"/>
          <w:szCs w:val="24"/>
          <w:lang w:val="en-US"/>
        </w:rPr>
        <w:t>      As for the applicant’s arguments derived from Article 5 of Regulation No 1/2003, these do not make it possible to call into question the interpretation set out in paragraph 26 above.</w:t>
      </w:r>
    </w:p>
    <w:p w:rsidR="00AE47CC" w:rsidRPr="0088512D" w:rsidRDefault="00AE47CC" w:rsidP="00AE47CC">
      <w:pPr>
        <w:jc w:val="both"/>
        <w:rPr>
          <w:rFonts w:ascii="Times New Roman" w:hAnsi="Times New Roman"/>
          <w:sz w:val="24"/>
          <w:szCs w:val="24"/>
          <w:lang w:val="en-US"/>
        </w:rPr>
      </w:pPr>
      <w:bookmarkStart w:id="32" w:name="point31"/>
      <w:r w:rsidRPr="0088512D">
        <w:rPr>
          <w:rFonts w:ascii="Times New Roman" w:hAnsi="Times New Roman"/>
          <w:sz w:val="24"/>
          <w:szCs w:val="24"/>
          <w:lang w:val="en-US"/>
        </w:rPr>
        <w:t>31</w:t>
      </w:r>
      <w:bookmarkEnd w:id="32"/>
      <w:r w:rsidRPr="0088512D">
        <w:rPr>
          <w:rFonts w:ascii="Times New Roman" w:hAnsi="Times New Roman"/>
          <w:sz w:val="24"/>
          <w:szCs w:val="24"/>
          <w:lang w:val="en-US"/>
        </w:rPr>
        <w:t xml:space="preserve">      The applicant claims that Article 13(2) of Regulation No 1/2003 </w:t>
      </w:r>
      <w:proofErr w:type="gramStart"/>
      <w:r w:rsidRPr="0088512D">
        <w:rPr>
          <w:rFonts w:ascii="Times New Roman" w:hAnsi="Times New Roman"/>
          <w:sz w:val="24"/>
          <w:szCs w:val="24"/>
          <w:lang w:val="en-US"/>
        </w:rPr>
        <w:t>must be read</w:t>
      </w:r>
      <w:proofErr w:type="gramEnd"/>
      <w:r w:rsidRPr="0088512D">
        <w:rPr>
          <w:rFonts w:ascii="Times New Roman" w:hAnsi="Times New Roman"/>
          <w:sz w:val="24"/>
          <w:szCs w:val="24"/>
          <w:lang w:val="en-US"/>
        </w:rPr>
        <w:t xml:space="preserve"> in the light of Article 5 of that regulation, relating to the powers of the Member States’ competition authorities to apply Articles 101 TFEU and 102 TFEU in individual cases. According to the applicant, the Commission </w:t>
      </w:r>
      <w:proofErr w:type="gramStart"/>
      <w:r w:rsidRPr="0088512D">
        <w:rPr>
          <w:rFonts w:ascii="Times New Roman" w:hAnsi="Times New Roman"/>
          <w:sz w:val="24"/>
          <w:szCs w:val="24"/>
          <w:lang w:val="en-US"/>
        </w:rPr>
        <w:t>is prohibited</w:t>
      </w:r>
      <w:proofErr w:type="gramEnd"/>
      <w:r w:rsidRPr="0088512D">
        <w:rPr>
          <w:rFonts w:ascii="Times New Roman" w:hAnsi="Times New Roman"/>
          <w:sz w:val="24"/>
          <w:szCs w:val="24"/>
          <w:lang w:val="en-US"/>
        </w:rPr>
        <w:t xml:space="preserve"> from rejecting a complaint in the case where that complaint has not been the subject of a decision of a competition authority of a Member State under Article 5 of that regulation. </w:t>
      </w:r>
      <w:proofErr w:type="gramStart"/>
      <w:r w:rsidRPr="0088512D">
        <w:rPr>
          <w:rFonts w:ascii="Times New Roman" w:hAnsi="Times New Roman"/>
          <w:sz w:val="24"/>
          <w:szCs w:val="24"/>
          <w:lang w:val="en-US"/>
        </w:rPr>
        <w:t xml:space="preserve">The applicant submits that, in this case,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16 December 2009 does not constitute a decision taken on the basis of that article, since it ‘represents even less than the maximum allowed for [a national competition authority], which is to establish that there are no grounds for action on its part’, as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has not established whether the conditions for a prohibition were met.</w:t>
      </w:r>
      <w:proofErr w:type="gramEnd"/>
    </w:p>
    <w:p w:rsidR="00AE47CC" w:rsidRPr="0088512D" w:rsidRDefault="00AE47CC" w:rsidP="00AE47CC">
      <w:pPr>
        <w:jc w:val="both"/>
        <w:rPr>
          <w:rFonts w:ascii="Times New Roman" w:hAnsi="Times New Roman"/>
          <w:sz w:val="24"/>
          <w:szCs w:val="24"/>
          <w:lang w:val="en-US"/>
        </w:rPr>
      </w:pPr>
      <w:bookmarkStart w:id="33" w:name="point32"/>
      <w:r w:rsidRPr="0088512D">
        <w:rPr>
          <w:rFonts w:ascii="Times New Roman" w:hAnsi="Times New Roman"/>
          <w:sz w:val="24"/>
          <w:szCs w:val="24"/>
          <w:lang w:val="en-US"/>
        </w:rPr>
        <w:t>32</w:t>
      </w:r>
      <w:bookmarkEnd w:id="33"/>
      <w:r w:rsidRPr="0088512D">
        <w:rPr>
          <w:rFonts w:ascii="Times New Roman" w:hAnsi="Times New Roman"/>
          <w:sz w:val="24"/>
          <w:szCs w:val="24"/>
          <w:lang w:val="en-US"/>
        </w:rPr>
        <w:t xml:space="preserve">      Article 5 of Regulation No 1/2003 comes under Chapter II relating to powers and sets out the decisions which may be taken by the competition authorities of the Member States when applying Articles 101 TFEU et 102 TFEU in individual cases. </w:t>
      </w:r>
      <w:proofErr w:type="gramStart"/>
      <w:r w:rsidRPr="0088512D">
        <w:rPr>
          <w:rFonts w:ascii="Times New Roman" w:hAnsi="Times New Roman"/>
          <w:sz w:val="24"/>
          <w:szCs w:val="24"/>
          <w:lang w:val="en-US"/>
        </w:rPr>
        <w:t>The first paragraph of Article 5 of the regulation thus provides that those authorities, ruling on the substance, may, acting on their own initiative or on a complaint, take the following decisions, namely require that an infringement be brought to an end, order interim measures, accept commitments and impose fines, periodic penalty payments or any other penalty provided for in their national law.</w:t>
      </w:r>
      <w:proofErr w:type="gramEnd"/>
      <w:r w:rsidRPr="0088512D">
        <w:rPr>
          <w:rFonts w:ascii="Times New Roman" w:hAnsi="Times New Roman"/>
          <w:sz w:val="24"/>
          <w:szCs w:val="24"/>
          <w:lang w:val="en-US"/>
        </w:rPr>
        <w:t xml:space="preserve"> According to the second paragraph of Article 5 of that regulation, ‘[w]here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the information in their possession the conditions for prohibition are not met [national competition authorities] may likewise decide that there are no grounds for action on their part’. </w:t>
      </w:r>
      <w:proofErr w:type="gramStart"/>
      <w:r w:rsidRPr="0088512D">
        <w:rPr>
          <w:rFonts w:ascii="Times New Roman" w:hAnsi="Times New Roman"/>
          <w:sz w:val="24"/>
          <w:szCs w:val="24"/>
          <w:lang w:val="en-US"/>
        </w:rPr>
        <w:t xml:space="preserve">In answer to the question whether national competition authorities were entitled to take a decision finding that there had been no breach of Articles 101 TFEU or 102 TFEU, the Court of Justice has </w:t>
      </w:r>
      <w:r w:rsidRPr="0088512D">
        <w:rPr>
          <w:rFonts w:ascii="Times New Roman" w:hAnsi="Times New Roman"/>
          <w:sz w:val="24"/>
          <w:szCs w:val="24"/>
          <w:lang w:val="en-US"/>
        </w:rPr>
        <w:lastRenderedPageBreak/>
        <w:t xml:space="preserve">stated that Article 5 of that regulation is to be interpreted as restrictively defining the decisions which those authorities may take (judgment of 3 May 2011 in </w:t>
      </w:r>
      <w:r w:rsidRPr="0088512D">
        <w:rPr>
          <w:rFonts w:ascii="Times New Roman" w:hAnsi="Times New Roman"/>
          <w:i/>
          <w:iCs/>
          <w:sz w:val="24"/>
          <w:szCs w:val="24"/>
          <w:lang w:val="en-US"/>
        </w:rPr>
        <w:t xml:space="preserve">Tele2 </w:t>
      </w:r>
      <w:proofErr w:type="spellStart"/>
      <w:r w:rsidRPr="0088512D">
        <w:rPr>
          <w:rFonts w:ascii="Times New Roman" w:hAnsi="Times New Roman"/>
          <w:i/>
          <w:iCs/>
          <w:sz w:val="24"/>
          <w:szCs w:val="24"/>
          <w:lang w:val="en-US"/>
        </w:rPr>
        <w:t>Polska</w:t>
      </w:r>
      <w:proofErr w:type="spellEnd"/>
      <w:r w:rsidRPr="0088512D">
        <w:rPr>
          <w:rFonts w:ascii="Times New Roman" w:hAnsi="Times New Roman"/>
          <w:sz w:val="24"/>
          <w:szCs w:val="24"/>
          <w:lang w:val="en-US"/>
        </w:rPr>
        <w:t>, C</w:t>
      </w:r>
      <w:r w:rsidRPr="0088512D">
        <w:rPr>
          <w:rFonts w:ascii="Times New Roman" w:hAnsi="Times New Roman"/>
          <w:sz w:val="24"/>
          <w:szCs w:val="24"/>
          <w:lang w:val="en-US"/>
        </w:rPr>
        <w:noBreakHyphen/>
        <w:t>375/09, ECR, EU:C:2011:270, paragraphs 19 to 30).</w:t>
      </w:r>
      <w:proofErr w:type="gramEnd"/>
    </w:p>
    <w:p w:rsidR="00AE47CC" w:rsidRPr="0088512D" w:rsidRDefault="00AE47CC" w:rsidP="00AE47CC">
      <w:pPr>
        <w:jc w:val="both"/>
        <w:rPr>
          <w:rFonts w:ascii="Times New Roman" w:hAnsi="Times New Roman"/>
          <w:sz w:val="24"/>
          <w:szCs w:val="24"/>
          <w:lang w:val="en-US"/>
        </w:rPr>
      </w:pPr>
      <w:bookmarkStart w:id="34" w:name="point33"/>
      <w:r w:rsidRPr="0088512D">
        <w:rPr>
          <w:rFonts w:ascii="Times New Roman" w:hAnsi="Times New Roman"/>
          <w:sz w:val="24"/>
          <w:szCs w:val="24"/>
          <w:lang w:val="en-US"/>
        </w:rPr>
        <w:t>33</w:t>
      </w:r>
      <w:bookmarkEnd w:id="34"/>
      <w:r w:rsidRPr="0088512D">
        <w:rPr>
          <w:rFonts w:ascii="Times New Roman" w:hAnsi="Times New Roman"/>
          <w:sz w:val="24"/>
          <w:szCs w:val="24"/>
          <w:lang w:val="en-US"/>
        </w:rPr>
        <w:t xml:space="preserve">      Article 13(2) of Regulation No 1/2003, which comes under Chapter IV on cooperation, provides, however, only that the complaint must have been dealt with by another competition authority, but not necessarily that a decision must have been reached in relation to that complaint (see paragraph 26 above). Accordingly, as noted by the Commission in the contested decision, that provision does not necessarily require that </w:t>
      </w:r>
      <w:proofErr w:type="gramStart"/>
      <w:r w:rsidRPr="0088512D">
        <w:rPr>
          <w:rFonts w:ascii="Times New Roman" w:hAnsi="Times New Roman"/>
          <w:sz w:val="24"/>
          <w:szCs w:val="24"/>
          <w:lang w:val="en-US"/>
        </w:rPr>
        <w:t>a decision must have been taken by the competition authority of a Member State that has already rejected the complaint</w:t>
      </w:r>
      <w:proofErr w:type="gramEnd"/>
      <w:r w:rsidRPr="0088512D">
        <w:rPr>
          <w:rFonts w:ascii="Times New Roman" w:hAnsi="Times New Roman"/>
          <w:sz w:val="24"/>
          <w:szCs w:val="24"/>
          <w:lang w:val="en-US"/>
        </w:rPr>
        <w:t xml:space="preserve">. Consequently, even if it were to </w:t>
      </w:r>
      <w:proofErr w:type="gramStart"/>
      <w:r w:rsidRPr="0088512D">
        <w:rPr>
          <w:rFonts w:ascii="Times New Roman" w:hAnsi="Times New Roman"/>
          <w:sz w:val="24"/>
          <w:szCs w:val="24"/>
          <w:lang w:val="en-US"/>
        </w:rPr>
        <w:t>be supposed</w:t>
      </w:r>
      <w:proofErr w:type="gramEnd"/>
      <w:r w:rsidRPr="0088512D">
        <w:rPr>
          <w:rFonts w:ascii="Times New Roman" w:hAnsi="Times New Roman"/>
          <w:sz w:val="24"/>
          <w:szCs w:val="24"/>
          <w:lang w:val="en-US"/>
        </w:rPr>
        <w:t xml:space="preserve"> that the rejection of a complaint by a competition authority of a Member State on priority grounds does not constitute a decision within the meaning of Article 5, the Commission could apply, in such a case, the provisions of Article 13(2).</w:t>
      </w:r>
    </w:p>
    <w:p w:rsidR="00AE47CC" w:rsidRPr="0088512D" w:rsidRDefault="00AE47CC" w:rsidP="00AE47CC">
      <w:pPr>
        <w:jc w:val="both"/>
        <w:rPr>
          <w:rFonts w:ascii="Times New Roman" w:hAnsi="Times New Roman"/>
          <w:sz w:val="24"/>
          <w:szCs w:val="24"/>
          <w:lang w:val="en-US"/>
        </w:rPr>
      </w:pPr>
      <w:bookmarkStart w:id="35" w:name="point34"/>
      <w:r w:rsidRPr="0088512D">
        <w:rPr>
          <w:rFonts w:ascii="Times New Roman" w:hAnsi="Times New Roman"/>
          <w:sz w:val="24"/>
          <w:szCs w:val="24"/>
          <w:lang w:val="en-US"/>
        </w:rPr>
        <w:t>34</w:t>
      </w:r>
      <w:bookmarkEnd w:id="35"/>
      <w:r w:rsidRPr="0088512D">
        <w:rPr>
          <w:rFonts w:ascii="Times New Roman" w:hAnsi="Times New Roman"/>
          <w:sz w:val="24"/>
          <w:szCs w:val="24"/>
          <w:lang w:val="en-US"/>
        </w:rPr>
        <w:t xml:space="preserve">      In the alternative, in any event,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16 December 2009 may be considered </w:t>
      </w:r>
      <w:proofErr w:type="gramStart"/>
      <w:r w:rsidRPr="0088512D">
        <w:rPr>
          <w:rFonts w:ascii="Times New Roman" w:hAnsi="Times New Roman"/>
          <w:sz w:val="24"/>
          <w:szCs w:val="24"/>
          <w:lang w:val="en-US"/>
        </w:rPr>
        <w:t>to be a</w:t>
      </w:r>
      <w:proofErr w:type="gramEnd"/>
      <w:r w:rsidRPr="0088512D">
        <w:rPr>
          <w:rFonts w:ascii="Times New Roman" w:hAnsi="Times New Roman"/>
          <w:sz w:val="24"/>
          <w:szCs w:val="24"/>
          <w:lang w:val="en-US"/>
        </w:rPr>
        <w:t xml:space="preserve"> decision based on the second paragraph of Article 5 of Regulation No 1/2003. As submitted by the Commission, that provision covers all cases in which the competition authority of a Member State finds that the information in its possession does not allow it to conclude that the conditions for prohibition </w:t>
      </w:r>
      <w:proofErr w:type="gramStart"/>
      <w:r w:rsidRPr="0088512D">
        <w:rPr>
          <w:rFonts w:ascii="Times New Roman" w:hAnsi="Times New Roman"/>
          <w:sz w:val="24"/>
          <w:szCs w:val="24"/>
          <w:lang w:val="en-US"/>
        </w:rPr>
        <w:t>are met</w:t>
      </w:r>
      <w:proofErr w:type="gramEnd"/>
      <w:r w:rsidRPr="0088512D">
        <w:rPr>
          <w:rFonts w:ascii="Times New Roman" w:hAnsi="Times New Roman"/>
          <w:sz w:val="24"/>
          <w:szCs w:val="24"/>
          <w:lang w:val="en-US"/>
        </w:rPr>
        <w:t xml:space="preserve">, without it being necessary for it to have ordered any preliminary measures of inquiry. </w:t>
      </w:r>
      <w:proofErr w:type="gramStart"/>
      <w:r w:rsidRPr="0088512D">
        <w:rPr>
          <w:rFonts w:ascii="Times New Roman" w:hAnsi="Times New Roman"/>
          <w:sz w:val="24"/>
          <w:szCs w:val="24"/>
          <w:lang w:val="en-US"/>
        </w:rPr>
        <w:t xml:space="preserve">In the present case, in finding, in its decision of 16 December 2009, that a review under Article 102 TFEU of the charges applied from April 2009 would have the same outcome as the review of the third complaint and in rejecting, consequently, the second complaint in accordance with its priority policy,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necessarily took the view that the conditions for prohibition had not been satisfied.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Moreover, a finding that a decision by a competition authority of a Member State to reject a complaint on priority grounds constitutes a decision taken on the basis of the second paragraph of Article 5 of that regulation is consistent with the judgment in </w:t>
      </w:r>
      <w:r w:rsidRPr="0088512D">
        <w:rPr>
          <w:rFonts w:ascii="Times New Roman" w:hAnsi="Times New Roman"/>
          <w:i/>
          <w:iCs/>
          <w:sz w:val="24"/>
          <w:szCs w:val="24"/>
          <w:lang w:val="en-US"/>
        </w:rPr>
        <w:t xml:space="preserve">Tele2 </w:t>
      </w:r>
      <w:proofErr w:type="spellStart"/>
      <w:r w:rsidRPr="0088512D">
        <w:rPr>
          <w:rFonts w:ascii="Times New Roman" w:hAnsi="Times New Roman"/>
          <w:i/>
          <w:iCs/>
          <w:sz w:val="24"/>
          <w:szCs w:val="24"/>
          <w:lang w:val="en-US"/>
        </w:rPr>
        <w:t>Polska</w:t>
      </w:r>
      <w:proofErr w:type="spellEnd"/>
      <w:r w:rsidRPr="0088512D">
        <w:rPr>
          <w:rFonts w:ascii="Times New Roman" w:hAnsi="Times New Roman"/>
          <w:sz w:val="24"/>
          <w:szCs w:val="24"/>
          <w:lang w:val="en-US"/>
        </w:rPr>
        <w:t>, paragraph 32 above (EU:C:2011:270), in which the Court of Justice found that that article restrictively listed the type of decisions which could be taken by a national authority.</w:t>
      </w:r>
      <w:proofErr w:type="gramEnd"/>
      <w:r w:rsidRPr="0088512D">
        <w:rPr>
          <w:rFonts w:ascii="Times New Roman" w:hAnsi="Times New Roman"/>
          <w:sz w:val="24"/>
          <w:szCs w:val="24"/>
          <w:lang w:val="en-US"/>
        </w:rPr>
        <w:t xml:space="preserve"> Any different interpretation would have the effect of depriving the competition authorities of Member States of the possibility of taking decisions to reject complaints on priority grounds, even though competition authorities do rely on such grounds when taking closure </w:t>
      </w:r>
      <w:proofErr w:type="gramStart"/>
      <w:r w:rsidRPr="0088512D">
        <w:rPr>
          <w:rFonts w:ascii="Times New Roman" w:hAnsi="Times New Roman"/>
          <w:sz w:val="24"/>
          <w:szCs w:val="24"/>
          <w:lang w:val="en-US"/>
        </w:rPr>
        <w:t>decisions which</w:t>
      </w:r>
      <w:proofErr w:type="gramEnd"/>
      <w:r w:rsidRPr="0088512D">
        <w:rPr>
          <w:rFonts w:ascii="Times New Roman" w:hAnsi="Times New Roman"/>
          <w:sz w:val="24"/>
          <w:szCs w:val="24"/>
          <w:lang w:val="en-US"/>
        </w:rPr>
        <w:t xml:space="preserve"> are more or less formal. Consequently, the interpretation set out in paragraph 26 above is consistent with Article 5 of that regulation, since the Commission may reject a complaint on the ground that it </w:t>
      </w:r>
      <w:proofErr w:type="gramStart"/>
      <w:r w:rsidRPr="0088512D">
        <w:rPr>
          <w:rFonts w:ascii="Times New Roman" w:hAnsi="Times New Roman"/>
          <w:sz w:val="24"/>
          <w:szCs w:val="24"/>
          <w:lang w:val="en-US"/>
        </w:rPr>
        <w:t>has already been rejected</w:t>
      </w:r>
      <w:proofErr w:type="gramEnd"/>
      <w:r w:rsidRPr="0088512D">
        <w:rPr>
          <w:rFonts w:ascii="Times New Roman" w:hAnsi="Times New Roman"/>
          <w:sz w:val="24"/>
          <w:szCs w:val="24"/>
          <w:lang w:val="en-US"/>
        </w:rPr>
        <w:t xml:space="preserve"> by decision of a competition authority of a Member State on priority grounds.</w:t>
      </w:r>
    </w:p>
    <w:p w:rsidR="00AE47CC" w:rsidRPr="0088512D" w:rsidRDefault="00AE47CC" w:rsidP="00AE47CC">
      <w:pPr>
        <w:jc w:val="both"/>
        <w:rPr>
          <w:rFonts w:ascii="Times New Roman" w:hAnsi="Times New Roman"/>
          <w:sz w:val="24"/>
          <w:szCs w:val="24"/>
          <w:lang w:val="en-US"/>
        </w:rPr>
      </w:pPr>
      <w:bookmarkStart w:id="36" w:name="point35"/>
      <w:r w:rsidRPr="0088512D">
        <w:rPr>
          <w:rFonts w:ascii="Times New Roman" w:hAnsi="Times New Roman"/>
          <w:sz w:val="24"/>
          <w:szCs w:val="24"/>
          <w:lang w:val="en-US"/>
        </w:rPr>
        <w:t>35</w:t>
      </w:r>
      <w:bookmarkEnd w:id="36"/>
      <w:r w:rsidRPr="0088512D">
        <w:rPr>
          <w:rFonts w:ascii="Times New Roman" w:hAnsi="Times New Roman"/>
          <w:sz w:val="24"/>
          <w:szCs w:val="24"/>
          <w:lang w:val="en-US"/>
        </w:rPr>
        <w:t xml:space="preserve">      Finally, the interpretation set out in paragraph 26 above is consistent with the mechanism of Article 13(2), which also provides that a competition authority of a Member State may reject a complaint where </w:t>
      </w:r>
      <w:proofErr w:type="gramStart"/>
      <w:r w:rsidRPr="0088512D">
        <w:rPr>
          <w:rFonts w:ascii="Times New Roman" w:hAnsi="Times New Roman"/>
          <w:sz w:val="24"/>
          <w:szCs w:val="24"/>
          <w:lang w:val="en-US"/>
        </w:rPr>
        <w:t>it has already been dealt with by the Commission</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As the case-law has consistently </w:t>
      </w:r>
      <w:proofErr w:type="spellStart"/>
      <w:r w:rsidRPr="0088512D">
        <w:rPr>
          <w:rFonts w:ascii="Times New Roman" w:hAnsi="Times New Roman"/>
          <w:sz w:val="24"/>
          <w:szCs w:val="24"/>
          <w:lang w:val="en-US"/>
        </w:rPr>
        <w:t>recognised</w:t>
      </w:r>
      <w:proofErr w:type="spellEnd"/>
      <w:r w:rsidRPr="0088512D">
        <w:rPr>
          <w:rFonts w:ascii="Times New Roman" w:hAnsi="Times New Roman"/>
          <w:sz w:val="24"/>
          <w:szCs w:val="24"/>
          <w:lang w:val="en-US"/>
        </w:rPr>
        <w:t xml:space="preserve"> the Commission’s power to take decisions rejecting a complaint on priority grounds (see, for example, the judgment in </w:t>
      </w:r>
      <w:r w:rsidRPr="0088512D">
        <w:rPr>
          <w:rFonts w:ascii="Times New Roman" w:hAnsi="Times New Roman"/>
          <w:i/>
          <w:iCs/>
          <w:sz w:val="24"/>
          <w:szCs w:val="24"/>
          <w:lang w:val="en-US"/>
        </w:rPr>
        <w:t>Vivendi</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paragraph 17 above, paragraphs 22 to 25 and the case-law cited), the competition authority of a Member State may also reject a complaint which has been the subject of a prior rejection by the Commission on such a ground.</w:t>
      </w:r>
      <w:proofErr w:type="gramEnd"/>
    </w:p>
    <w:p w:rsidR="00AE47CC" w:rsidRPr="0088512D" w:rsidRDefault="00AE47CC" w:rsidP="00AE47CC">
      <w:pPr>
        <w:jc w:val="both"/>
        <w:rPr>
          <w:rFonts w:ascii="Times New Roman" w:hAnsi="Times New Roman"/>
          <w:sz w:val="24"/>
          <w:szCs w:val="24"/>
          <w:lang w:val="en-US"/>
        </w:rPr>
      </w:pPr>
      <w:bookmarkStart w:id="37" w:name="point36"/>
      <w:r w:rsidRPr="0088512D">
        <w:rPr>
          <w:rFonts w:ascii="Times New Roman" w:hAnsi="Times New Roman"/>
          <w:sz w:val="24"/>
          <w:szCs w:val="24"/>
          <w:lang w:val="en-US"/>
        </w:rPr>
        <w:lastRenderedPageBreak/>
        <w:t>36</w:t>
      </w:r>
      <w:bookmarkEnd w:id="37"/>
      <w:r w:rsidRPr="0088512D">
        <w:rPr>
          <w:rFonts w:ascii="Times New Roman" w:hAnsi="Times New Roman"/>
          <w:sz w:val="24"/>
          <w:szCs w:val="24"/>
          <w:lang w:val="en-US"/>
        </w:rPr>
        <w:t xml:space="preserve">      Thirdly, the interpretation set out in paragraph 26 above appears to be in keeping with one of the main objectives of Regulation No 1/2003, which is to establish an effective </w:t>
      </w:r>
      <w:proofErr w:type="spellStart"/>
      <w:r w:rsidRPr="0088512D">
        <w:rPr>
          <w:rFonts w:ascii="Times New Roman" w:hAnsi="Times New Roman"/>
          <w:sz w:val="24"/>
          <w:szCs w:val="24"/>
          <w:lang w:val="en-US"/>
        </w:rPr>
        <w:t>decentralised</w:t>
      </w:r>
      <w:proofErr w:type="spellEnd"/>
      <w:r w:rsidRPr="0088512D">
        <w:rPr>
          <w:rFonts w:ascii="Times New Roman" w:hAnsi="Times New Roman"/>
          <w:sz w:val="24"/>
          <w:szCs w:val="24"/>
          <w:lang w:val="en-US"/>
        </w:rPr>
        <w:t xml:space="preserve"> scheme for the application of EU competition law rules. It is apparent from recital 6 in the preamble to that regulation that, ‘[</w:t>
      </w:r>
      <w:proofErr w:type="spellStart"/>
      <w:r w:rsidRPr="0088512D">
        <w:rPr>
          <w:rFonts w:ascii="Times New Roman" w:hAnsi="Times New Roman"/>
          <w:sz w:val="24"/>
          <w:szCs w:val="24"/>
          <w:lang w:val="en-US"/>
        </w:rPr>
        <w:t>i</w:t>
      </w:r>
      <w:proofErr w:type="spellEnd"/>
      <w:r w:rsidRPr="0088512D">
        <w:rPr>
          <w:rFonts w:ascii="Times New Roman" w:hAnsi="Times New Roman"/>
          <w:sz w:val="24"/>
          <w:szCs w:val="24"/>
          <w:lang w:val="en-US"/>
        </w:rPr>
        <w:t xml:space="preserve">]n order to ensure that the Community competition rules are applied effectively, the competition authorities of the Member States should be associated more closely with their application’. Recital 15 in the preamble to that regulation states, moreover, that ‘[t]he Commission and the competition authorities of the Member States should form together a network of public authorities applying the Community competition rules in close cooperation’. That regulation thus put an end to the previous </w:t>
      </w:r>
      <w:proofErr w:type="spellStart"/>
      <w:r w:rsidRPr="0088512D">
        <w:rPr>
          <w:rFonts w:ascii="Times New Roman" w:hAnsi="Times New Roman"/>
          <w:sz w:val="24"/>
          <w:szCs w:val="24"/>
          <w:lang w:val="en-US"/>
        </w:rPr>
        <w:t>centralised</w:t>
      </w:r>
      <w:proofErr w:type="spellEnd"/>
      <w:r w:rsidRPr="0088512D">
        <w:rPr>
          <w:rFonts w:ascii="Times New Roman" w:hAnsi="Times New Roman"/>
          <w:sz w:val="24"/>
          <w:szCs w:val="24"/>
          <w:lang w:val="en-US"/>
        </w:rPr>
        <w:t xml:space="preserve"> regime and, in accordance with the principle of subsidiarity, established a wider association of Member States’ competition authorities, </w:t>
      </w:r>
      <w:proofErr w:type="spellStart"/>
      <w:r w:rsidRPr="0088512D">
        <w:rPr>
          <w:rFonts w:ascii="Times New Roman" w:hAnsi="Times New Roman"/>
          <w:sz w:val="24"/>
          <w:szCs w:val="24"/>
          <w:lang w:val="en-US"/>
        </w:rPr>
        <w:t>authorising</w:t>
      </w:r>
      <w:proofErr w:type="spellEnd"/>
      <w:r w:rsidRPr="0088512D">
        <w:rPr>
          <w:rFonts w:ascii="Times New Roman" w:hAnsi="Times New Roman"/>
          <w:sz w:val="24"/>
          <w:szCs w:val="24"/>
          <w:lang w:val="en-US"/>
        </w:rPr>
        <w:t xml:space="preserve"> them to implement EU competition law (judgment of 8 March 2007 in </w:t>
      </w:r>
      <w:r w:rsidRPr="0088512D">
        <w:rPr>
          <w:rFonts w:ascii="Times New Roman" w:hAnsi="Times New Roman"/>
          <w:i/>
          <w:iCs/>
          <w:sz w:val="24"/>
          <w:szCs w:val="24"/>
          <w:lang w:val="en-US"/>
        </w:rPr>
        <w:t xml:space="preserve">France </w:t>
      </w:r>
      <w:proofErr w:type="spellStart"/>
      <w:r w:rsidRPr="0088512D">
        <w:rPr>
          <w:rFonts w:ascii="Times New Roman" w:hAnsi="Times New Roman"/>
          <w:i/>
          <w:iCs/>
          <w:sz w:val="24"/>
          <w:szCs w:val="24"/>
          <w:lang w:val="en-US"/>
        </w:rPr>
        <w:t>Télécom</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 xml:space="preserve">339/04, ECR, EU:T:2007:80, paragraph 79). </w:t>
      </w:r>
      <w:proofErr w:type="gramStart"/>
      <w:r w:rsidRPr="0088512D">
        <w:rPr>
          <w:rFonts w:ascii="Times New Roman" w:hAnsi="Times New Roman"/>
          <w:sz w:val="24"/>
          <w:szCs w:val="24"/>
          <w:lang w:val="en-US"/>
        </w:rPr>
        <w:t>‘To ensure that cases are dealt with by the most appropriate authorities within the network’, recital 18 in the preamble to Regulation No 1/2003 states that ‘a general provision should be laid down allowing a competition authority to suspend or close a case on the ground that another authority is dealing with it or has already dealt with it, the objective being that each case should be handled by a single authority’.</w:t>
      </w:r>
      <w:proofErr w:type="gramEnd"/>
    </w:p>
    <w:p w:rsidR="00AE47CC" w:rsidRPr="0088512D" w:rsidRDefault="00AE47CC" w:rsidP="00AE47CC">
      <w:pPr>
        <w:jc w:val="both"/>
        <w:rPr>
          <w:rFonts w:ascii="Times New Roman" w:hAnsi="Times New Roman"/>
          <w:sz w:val="24"/>
          <w:szCs w:val="24"/>
          <w:lang w:val="en-US"/>
        </w:rPr>
      </w:pPr>
      <w:bookmarkStart w:id="38" w:name="point37"/>
      <w:proofErr w:type="gramStart"/>
      <w:r w:rsidRPr="0088512D">
        <w:rPr>
          <w:rFonts w:ascii="Times New Roman" w:hAnsi="Times New Roman"/>
          <w:sz w:val="24"/>
          <w:szCs w:val="24"/>
          <w:lang w:val="en-US"/>
        </w:rPr>
        <w:t>37</w:t>
      </w:r>
      <w:bookmarkEnd w:id="38"/>
      <w:r w:rsidRPr="0088512D">
        <w:rPr>
          <w:rFonts w:ascii="Times New Roman" w:hAnsi="Times New Roman"/>
          <w:sz w:val="24"/>
          <w:szCs w:val="24"/>
          <w:lang w:val="en-US"/>
        </w:rPr>
        <w:t>      By contrast, the interpretation put forward by the applicant, the effect of which would be to require the Commission to review a complaint systematically each time a competition authority of a Member State has investigated a complaint but has not taken one of the decisions provided for in Article 5 of Regulation No 1/2003 or taken a decision to reject the complaint on priority grounds, would not be compatible with the objective of Article 13(2) of that regulation, which is to establish, with a view to ensuring effectiveness, an optimal allocation of resources within the European competition network.</w:t>
      </w:r>
      <w:proofErr w:type="gramEnd"/>
    </w:p>
    <w:p w:rsidR="00AE47CC" w:rsidRPr="0088512D" w:rsidRDefault="00AE47CC" w:rsidP="00AE47CC">
      <w:pPr>
        <w:jc w:val="both"/>
        <w:rPr>
          <w:rFonts w:ascii="Times New Roman" w:hAnsi="Times New Roman"/>
          <w:sz w:val="24"/>
          <w:szCs w:val="24"/>
          <w:lang w:val="en-US"/>
        </w:rPr>
      </w:pPr>
      <w:bookmarkStart w:id="39" w:name="point38"/>
      <w:r w:rsidRPr="0088512D">
        <w:rPr>
          <w:rFonts w:ascii="Times New Roman" w:hAnsi="Times New Roman"/>
          <w:sz w:val="24"/>
          <w:szCs w:val="24"/>
          <w:lang w:val="en-US"/>
        </w:rPr>
        <w:t>38</w:t>
      </w:r>
      <w:bookmarkEnd w:id="39"/>
      <w:r w:rsidRPr="0088512D">
        <w:rPr>
          <w:rFonts w:ascii="Times New Roman" w:hAnsi="Times New Roman"/>
          <w:sz w:val="24"/>
          <w:szCs w:val="24"/>
          <w:lang w:val="en-US"/>
        </w:rPr>
        <w:t>      Furthermore, as noted by the intervener, the interpretation proposed by the applicant appears to be at variance with the drafting history of Regulation No 1/2003. The explanatory memorandum relating to Commission proposal COM (2000) 582 final for a Council regulation on the implementation of the rules on competition laid down in Articles 81 and 82 of the Treaty indicates that the purpose of Article 13 was to remove the risk of duplication of work and the incentive for multiple complaints.</w:t>
      </w:r>
    </w:p>
    <w:p w:rsidR="00AE47CC" w:rsidRPr="0088512D" w:rsidRDefault="00AE47CC" w:rsidP="00AE47CC">
      <w:pPr>
        <w:jc w:val="both"/>
        <w:rPr>
          <w:rFonts w:ascii="Times New Roman" w:hAnsi="Times New Roman"/>
          <w:sz w:val="24"/>
          <w:szCs w:val="24"/>
          <w:lang w:val="en-US"/>
        </w:rPr>
      </w:pPr>
      <w:bookmarkStart w:id="40" w:name="point39"/>
      <w:r w:rsidRPr="0088512D">
        <w:rPr>
          <w:rFonts w:ascii="Times New Roman" w:hAnsi="Times New Roman"/>
          <w:sz w:val="24"/>
          <w:szCs w:val="24"/>
          <w:lang w:val="en-US"/>
        </w:rPr>
        <w:t>39</w:t>
      </w:r>
      <w:bookmarkEnd w:id="40"/>
      <w:r w:rsidRPr="0088512D">
        <w:rPr>
          <w:rFonts w:ascii="Times New Roman" w:hAnsi="Times New Roman"/>
          <w:sz w:val="24"/>
          <w:szCs w:val="24"/>
          <w:lang w:val="en-US"/>
        </w:rPr>
        <w:t xml:space="preserve">      Finally, as noted by the Commission, the interpretation put forward by the applicant runs contrary to Article 6 of Regulation No 1/2003, pursuant to which national courts have the power to apply Articles 101 TFEU and 102 TFEU. Requiring the Commission to review, as a matter of course, complaints rejected on priority grounds by competition authorities of Member States would be tantamount to transferring to the Commission the power to review the decisions of those authorities, which is a matter for national courts alone. </w:t>
      </w:r>
      <w:proofErr w:type="gramStart"/>
      <w:r w:rsidRPr="0088512D">
        <w:rPr>
          <w:rFonts w:ascii="Times New Roman" w:hAnsi="Times New Roman"/>
          <w:sz w:val="24"/>
          <w:szCs w:val="24"/>
          <w:lang w:val="en-US"/>
        </w:rPr>
        <w:t xml:space="preserve">It is true that Regulation No 1/2003 created a cooperation mechanism between the Commission and those authorities (judgment in </w:t>
      </w:r>
      <w:r w:rsidRPr="0088512D">
        <w:rPr>
          <w:rFonts w:ascii="Times New Roman" w:hAnsi="Times New Roman"/>
          <w:i/>
          <w:iCs/>
          <w:sz w:val="24"/>
          <w:szCs w:val="24"/>
          <w:lang w:val="en-US"/>
        </w:rPr>
        <w:t xml:space="preserve">Tele2 </w:t>
      </w:r>
      <w:proofErr w:type="spellStart"/>
      <w:r w:rsidRPr="0088512D">
        <w:rPr>
          <w:rFonts w:ascii="Times New Roman" w:hAnsi="Times New Roman"/>
          <w:i/>
          <w:iCs/>
          <w:sz w:val="24"/>
          <w:szCs w:val="24"/>
          <w:lang w:val="en-US"/>
        </w:rPr>
        <w:t>Polska</w:t>
      </w:r>
      <w:proofErr w:type="spellEnd"/>
      <w:r w:rsidRPr="0088512D">
        <w:rPr>
          <w:rFonts w:ascii="Times New Roman" w:hAnsi="Times New Roman"/>
          <w:sz w:val="24"/>
          <w:szCs w:val="24"/>
          <w:lang w:val="en-US"/>
        </w:rPr>
        <w:t>, paragraph 32 above, EU:C:2011:270, paragraph 26), but it did not provide for a mechanism by which the Commission would be substituted for national courts, which have an essential part to play in applying EU competition rules (see recital 7 in the preamble to Commission proposal COM (2000) 582 final for a Council regulation on the implementation of the rules on competition laid down in Articles 81 and 82 of the Treaty).</w:t>
      </w:r>
      <w:proofErr w:type="gramEnd"/>
    </w:p>
    <w:p w:rsidR="00AE47CC" w:rsidRPr="0088512D" w:rsidRDefault="00AE47CC" w:rsidP="00AE47CC">
      <w:pPr>
        <w:jc w:val="both"/>
        <w:rPr>
          <w:rFonts w:ascii="Times New Roman" w:hAnsi="Times New Roman"/>
          <w:sz w:val="24"/>
          <w:szCs w:val="24"/>
          <w:lang w:val="en-US"/>
        </w:rPr>
      </w:pPr>
      <w:bookmarkStart w:id="41" w:name="point40"/>
      <w:proofErr w:type="gramStart"/>
      <w:r w:rsidRPr="0088512D">
        <w:rPr>
          <w:rFonts w:ascii="Times New Roman" w:hAnsi="Times New Roman"/>
          <w:sz w:val="24"/>
          <w:szCs w:val="24"/>
          <w:lang w:val="en-US"/>
        </w:rPr>
        <w:t>40</w:t>
      </w:r>
      <w:bookmarkEnd w:id="41"/>
      <w:r w:rsidRPr="0088512D">
        <w:rPr>
          <w:rFonts w:ascii="Times New Roman" w:hAnsi="Times New Roman"/>
          <w:sz w:val="24"/>
          <w:szCs w:val="24"/>
          <w:lang w:val="en-US"/>
        </w:rPr>
        <w:t xml:space="preserve">      It is thus apparent from both the wording and the scheme of Regulation No 1/2003, on the one hand, and the objective pursued by that regulation, on the other, that the Commission </w:t>
      </w:r>
      <w:r w:rsidRPr="0088512D">
        <w:rPr>
          <w:rFonts w:ascii="Times New Roman" w:hAnsi="Times New Roman"/>
          <w:sz w:val="24"/>
          <w:szCs w:val="24"/>
          <w:lang w:val="en-US"/>
        </w:rPr>
        <w:lastRenderedPageBreak/>
        <w:t>may, in order to reject a complaint, properly rely on the ground that a competition authority of a Member State has previously rejected that complaint on priority grounds.</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Accordingly, the circumstance — even on the assumption that it is proved — that, in the present dispute,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did not close the complaint which had been brought before it by taking a decision within the meaning of Article 5 of that regulation and that it relied on priority grounds did not preclude the Commission from finding, pursuant to Article 13(2) of that regulation, that that complaint had been dealt with by a competition authority of a Member State and from rejecting it on that ground.</w:t>
      </w:r>
      <w:proofErr w:type="gramEnd"/>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The second limb of the first plea, alleging an error of law and a manifest error of assessment</w:t>
      </w:r>
    </w:p>
    <w:p w:rsidR="00AE47CC" w:rsidRPr="0088512D" w:rsidRDefault="00AE47CC" w:rsidP="00AE47CC">
      <w:pPr>
        <w:jc w:val="both"/>
        <w:rPr>
          <w:rFonts w:ascii="Times New Roman" w:hAnsi="Times New Roman"/>
          <w:sz w:val="24"/>
          <w:szCs w:val="24"/>
          <w:lang w:val="en-US"/>
        </w:rPr>
      </w:pPr>
      <w:bookmarkStart w:id="42" w:name="point41"/>
      <w:r w:rsidRPr="0088512D">
        <w:rPr>
          <w:rFonts w:ascii="Times New Roman" w:hAnsi="Times New Roman"/>
          <w:sz w:val="24"/>
          <w:szCs w:val="24"/>
          <w:lang w:val="en-US"/>
        </w:rPr>
        <w:t>41</w:t>
      </w:r>
      <w:bookmarkEnd w:id="42"/>
      <w:r w:rsidRPr="0088512D">
        <w:rPr>
          <w:rFonts w:ascii="Times New Roman" w:hAnsi="Times New Roman"/>
          <w:sz w:val="24"/>
          <w:szCs w:val="24"/>
          <w:lang w:val="en-US"/>
        </w:rPr>
        <w:t xml:space="preserve">      The applicant asserts that the Commission erred in law and made a manifest error of assessment in relying on a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relating to a </w:t>
      </w:r>
      <w:proofErr w:type="gramStart"/>
      <w:r w:rsidRPr="0088512D">
        <w:rPr>
          <w:rFonts w:ascii="Times New Roman" w:hAnsi="Times New Roman"/>
          <w:sz w:val="24"/>
          <w:szCs w:val="24"/>
          <w:lang w:val="en-US"/>
        </w:rPr>
        <w:t>complaint which</w:t>
      </w:r>
      <w:proofErr w:type="gramEnd"/>
      <w:r w:rsidRPr="0088512D">
        <w:rPr>
          <w:rFonts w:ascii="Times New Roman" w:hAnsi="Times New Roman"/>
          <w:sz w:val="24"/>
          <w:szCs w:val="24"/>
          <w:lang w:val="en-US"/>
        </w:rPr>
        <w:t xml:space="preserve"> was not the subject of an investigation conducted under European Union competition law, but rather under national air navigation law.</w:t>
      </w:r>
    </w:p>
    <w:p w:rsidR="00AE47CC" w:rsidRPr="0088512D" w:rsidRDefault="00AE47CC" w:rsidP="00AE47CC">
      <w:pPr>
        <w:jc w:val="both"/>
        <w:rPr>
          <w:rFonts w:ascii="Times New Roman" w:hAnsi="Times New Roman"/>
          <w:sz w:val="24"/>
          <w:szCs w:val="24"/>
          <w:lang w:val="en-US"/>
        </w:rPr>
      </w:pPr>
      <w:bookmarkStart w:id="43" w:name="point42"/>
      <w:r w:rsidRPr="0088512D">
        <w:rPr>
          <w:rFonts w:ascii="Times New Roman" w:hAnsi="Times New Roman"/>
          <w:sz w:val="24"/>
          <w:szCs w:val="24"/>
          <w:lang w:val="en-US"/>
        </w:rPr>
        <w:t>42</w:t>
      </w:r>
      <w:bookmarkEnd w:id="43"/>
      <w:r w:rsidRPr="0088512D">
        <w:rPr>
          <w:rFonts w:ascii="Times New Roman" w:hAnsi="Times New Roman"/>
          <w:sz w:val="24"/>
          <w:szCs w:val="24"/>
          <w:lang w:val="en-US"/>
        </w:rPr>
        <w:t xml:space="preserve">      The Commission and the intervener take issue with the applicant’s arguments. </w:t>
      </w:r>
    </w:p>
    <w:p w:rsidR="00AE47CC" w:rsidRPr="0088512D" w:rsidRDefault="00AE47CC" w:rsidP="00AE47CC">
      <w:pPr>
        <w:jc w:val="both"/>
        <w:rPr>
          <w:rFonts w:ascii="Times New Roman" w:hAnsi="Times New Roman"/>
          <w:sz w:val="24"/>
          <w:szCs w:val="24"/>
          <w:lang w:val="en-US"/>
        </w:rPr>
      </w:pPr>
      <w:bookmarkStart w:id="44" w:name="point43"/>
      <w:r w:rsidRPr="0088512D">
        <w:rPr>
          <w:rFonts w:ascii="Times New Roman" w:hAnsi="Times New Roman"/>
          <w:sz w:val="24"/>
          <w:szCs w:val="24"/>
          <w:lang w:val="en-US"/>
        </w:rPr>
        <w:t>43</w:t>
      </w:r>
      <w:bookmarkEnd w:id="44"/>
      <w:r w:rsidRPr="0088512D">
        <w:rPr>
          <w:rFonts w:ascii="Times New Roman" w:hAnsi="Times New Roman"/>
          <w:sz w:val="24"/>
          <w:szCs w:val="24"/>
          <w:lang w:val="en-US"/>
        </w:rPr>
        <w:t xml:space="preserve">      It is true that Article 13(2) of Regulation No 1/2003, as is the case for all of the provisions of that regulation, refers to the situations in which Articles 101 TFEU and 102 TFEU </w:t>
      </w:r>
      <w:proofErr w:type="gramStart"/>
      <w:r w:rsidRPr="0088512D">
        <w:rPr>
          <w:rFonts w:ascii="Times New Roman" w:hAnsi="Times New Roman"/>
          <w:sz w:val="24"/>
          <w:szCs w:val="24"/>
          <w:lang w:val="en-US"/>
        </w:rPr>
        <w:t>are implemented</w:t>
      </w:r>
      <w:proofErr w:type="gramEnd"/>
      <w:r w:rsidRPr="0088512D">
        <w:rPr>
          <w:rFonts w:ascii="Times New Roman" w:hAnsi="Times New Roman"/>
          <w:sz w:val="24"/>
          <w:szCs w:val="24"/>
          <w:lang w:val="en-US"/>
        </w:rPr>
        <w:t xml:space="preserve">. In particular, Article 3(1) of that regulation provides that, where the competition authorities of Member States apply national competition law to an abusive practice by an undertaking having a dominant position on the </w:t>
      </w:r>
      <w:proofErr w:type="gramStart"/>
      <w:r w:rsidRPr="0088512D">
        <w:rPr>
          <w:rFonts w:ascii="Times New Roman" w:hAnsi="Times New Roman"/>
          <w:sz w:val="24"/>
          <w:szCs w:val="24"/>
          <w:lang w:val="en-US"/>
        </w:rPr>
        <w:t>market which</w:t>
      </w:r>
      <w:proofErr w:type="gramEnd"/>
      <w:r w:rsidRPr="0088512D">
        <w:rPr>
          <w:rFonts w:ascii="Times New Roman" w:hAnsi="Times New Roman"/>
          <w:sz w:val="24"/>
          <w:szCs w:val="24"/>
          <w:lang w:val="en-US"/>
        </w:rPr>
        <w:t xml:space="preserve"> may affect trade between Member States, they must also apply Article 102 TFEU.</w:t>
      </w:r>
    </w:p>
    <w:p w:rsidR="00AE47CC" w:rsidRPr="0088512D" w:rsidRDefault="00AE47CC" w:rsidP="00AE47CC">
      <w:pPr>
        <w:jc w:val="both"/>
        <w:rPr>
          <w:rFonts w:ascii="Times New Roman" w:hAnsi="Times New Roman"/>
          <w:sz w:val="24"/>
          <w:szCs w:val="24"/>
          <w:lang w:val="en-US"/>
        </w:rPr>
      </w:pPr>
      <w:bookmarkStart w:id="45" w:name="point44"/>
      <w:r w:rsidRPr="0088512D">
        <w:rPr>
          <w:rFonts w:ascii="Times New Roman" w:hAnsi="Times New Roman"/>
          <w:sz w:val="24"/>
          <w:szCs w:val="24"/>
          <w:lang w:val="en-US"/>
        </w:rPr>
        <w:t>44</w:t>
      </w:r>
      <w:bookmarkEnd w:id="45"/>
      <w:r w:rsidRPr="0088512D">
        <w:rPr>
          <w:rFonts w:ascii="Times New Roman" w:hAnsi="Times New Roman"/>
          <w:sz w:val="24"/>
          <w:szCs w:val="24"/>
          <w:lang w:val="en-US"/>
        </w:rPr>
        <w:t xml:space="preserve">      Consequently, the Commission may reject a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13(2) of Regulation No 1/2003 only where it has been the subject of a review carried out in the light of EU competition law rules.</w:t>
      </w:r>
    </w:p>
    <w:p w:rsidR="00AE47CC" w:rsidRPr="0088512D" w:rsidRDefault="00AE47CC" w:rsidP="00AE47CC">
      <w:pPr>
        <w:jc w:val="both"/>
        <w:rPr>
          <w:rFonts w:ascii="Times New Roman" w:hAnsi="Times New Roman"/>
          <w:sz w:val="24"/>
          <w:szCs w:val="24"/>
          <w:lang w:val="en-US"/>
        </w:rPr>
      </w:pPr>
      <w:bookmarkStart w:id="46" w:name="point45"/>
      <w:r w:rsidRPr="0088512D">
        <w:rPr>
          <w:rFonts w:ascii="Times New Roman" w:hAnsi="Times New Roman"/>
          <w:sz w:val="24"/>
          <w:szCs w:val="24"/>
          <w:lang w:val="en-US"/>
        </w:rPr>
        <w:t>45</w:t>
      </w:r>
      <w:bookmarkEnd w:id="46"/>
      <w:r w:rsidRPr="0088512D">
        <w:rPr>
          <w:rFonts w:ascii="Times New Roman" w:hAnsi="Times New Roman"/>
          <w:sz w:val="24"/>
          <w:szCs w:val="24"/>
          <w:lang w:val="en-US"/>
        </w:rPr>
        <w:t xml:space="preserve">      None the less, no provision of that regulation prohibits a competition authority of a Member State from relying, in the </w:t>
      </w:r>
      <w:proofErr w:type="gramStart"/>
      <w:r w:rsidRPr="0088512D">
        <w:rPr>
          <w:rFonts w:ascii="Times New Roman" w:hAnsi="Times New Roman"/>
          <w:sz w:val="24"/>
          <w:szCs w:val="24"/>
          <w:lang w:val="en-US"/>
        </w:rPr>
        <w:t>investigations which</w:t>
      </w:r>
      <w:proofErr w:type="gramEnd"/>
      <w:r w:rsidRPr="0088512D">
        <w:rPr>
          <w:rFonts w:ascii="Times New Roman" w:hAnsi="Times New Roman"/>
          <w:sz w:val="24"/>
          <w:szCs w:val="24"/>
          <w:lang w:val="en-US"/>
        </w:rPr>
        <w:t xml:space="preserve"> it carries out with a view to ascertaining whether there has been compliance with EU competition law rules, on conclusions which it reached as part of the investigation carried out under different national legislation. Paragraph 21 of the notice on cooperation within the network of competition authorities, moreover, merely states that ‘Article 13 of [Regulation No 1/2003] can be invoked when the agreement or practice involves the same infringement(s) on the same relevant geographic and product markets’.</w:t>
      </w:r>
    </w:p>
    <w:p w:rsidR="00AE47CC" w:rsidRPr="0088512D" w:rsidRDefault="00AE47CC" w:rsidP="00AE47CC">
      <w:pPr>
        <w:jc w:val="both"/>
        <w:rPr>
          <w:rFonts w:ascii="Times New Roman" w:hAnsi="Times New Roman"/>
          <w:sz w:val="24"/>
          <w:szCs w:val="24"/>
          <w:lang w:val="en-US"/>
        </w:rPr>
      </w:pPr>
      <w:bookmarkStart w:id="47" w:name="point46"/>
      <w:proofErr w:type="gramStart"/>
      <w:r w:rsidRPr="0088512D">
        <w:rPr>
          <w:rFonts w:ascii="Times New Roman" w:hAnsi="Times New Roman"/>
          <w:sz w:val="24"/>
          <w:szCs w:val="24"/>
          <w:lang w:val="en-US"/>
        </w:rPr>
        <w:t>46</w:t>
      </w:r>
      <w:bookmarkEnd w:id="47"/>
      <w:r w:rsidRPr="0088512D">
        <w:rPr>
          <w:rFonts w:ascii="Times New Roman" w:hAnsi="Times New Roman"/>
          <w:sz w:val="24"/>
          <w:szCs w:val="24"/>
          <w:lang w:val="en-US"/>
        </w:rPr>
        <w:t>      It follows from the foregoing that the Commission may, in order to reject a complaint on the basis of Article 13(2) of Regulation No 1/2003, properly rely on the ground that a competition authority of a Member State has previously rejected that complaint following a review based on conclusions reached by that authority in the course of an investigation conducted under separate provisions of national law, on condition that that review was conducted in the light of the rules of EU competition law.</w:t>
      </w:r>
      <w:proofErr w:type="gramEnd"/>
    </w:p>
    <w:p w:rsidR="00AE47CC" w:rsidRPr="0088512D" w:rsidRDefault="00AE47CC" w:rsidP="00AE47CC">
      <w:pPr>
        <w:jc w:val="both"/>
        <w:rPr>
          <w:rFonts w:ascii="Times New Roman" w:hAnsi="Times New Roman"/>
          <w:sz w:val="24"/>
          <w:szCs w:val="24"/>
          <w:lang w:val="en-US"/>
        </w:rPr>
      </w:pPr>
      <w:bookmarkStart w:id="48" w:name="point47"/>
      <w:r w:rsidRPr="0088512D">
        <w:rPr>
          <w:rFonts w:ascii="Times New Roman" w:hAnsi="Times New Roman"/>
          <w:sz w:val="24"/>
          <w:szCs w:val="24"/>
          <w:lang w:val="en-US"/>
        </w:rPr>
        <w:t>47</w:t>
      </w:r>
      <w:bookmarkEnd w:id="48"/>
      <w:r w:rsidRPr="0088512D">
        <w:rPr>
          <w:rFonts w:ascii="Times New Roman" w:hAnsi="Times New Roman"/>
          <w:sz w:val="24"/>
          <w:szCs w:val="24"/>
          <w:lang w:val="en-US"/>
        </w:rPr>
        <w:t xml:space="preserve">      In the present case, it is apparent from the contested decision that the Commission found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102 TFEU. It noted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in particular indicated the extent to which the findings of the investigation conducted under air navigation law were relevant to its review based on competition law, by describing the similarities between the two sets of rules, comparing the equivalence of the relevant services and ascertaining the competitive disadvantage caused by </w:t>
      </w:r>
      <w:r w:rsidRPr="0088512D">
        <w:rPr>
          <w:rFonts w:ascii="Times New Roman" w:hAnsi="Times New Roman"/>
          <w:sz w:val="24"/>
          <w:szCs w:val="24"/>
          <w:lang w:val="en-US"/>
        </w:rPr>
        <w:lastRenderedPageBreak/>
        <w:t xml:space="preserve">Schiphol’s pricing. The Commission found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thus examined whether the charges were proportionate to the costs, had compared those charges with those of other international airports and had assessed them in the light of the quality of service received by the applicant. Finally, the Commission held that it was not its task to rule on the arguments and findings set out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or on the methodology used by the latter.</w:t>
      </w:r>
    </w:p>
    <w:p w:rsidR="00AE47CC" w:rsidRPr="0088512D" w:rsidRDefault="00AE47CC" w:rsidP="00AE47CC">
      <w:pPr>
        <w:jc w:val="both"/>
        <w:rPr>
          <w:rFonts w:ascii="Times New Roman" w:hAnsi="Times New Roman"/>
          <w:sz w:val="24"/>
          <w:szCs w:val="24"/>
          <w:lang w:val="en-US"/>
        </w:rPr>
      </w:pPr>
      <w:bookmarkStart w:id="49" w:name="point48"/>
      <w:r w:rsidRPr="0088512D">
        <w:rPr>
          <w:rFonts w:ascii="Times New Roman" w:hAnsi="Times New Roman"/>
          <w:sz w:val="24"/>
          <w:szCs w:val="24"/>
          <w:lang w:val="en-US"/>
        </w:rPr>
        <w:t>48</w:t>
      </w:r>
      <w:bookmarkEnd w:id="49"/>
      <w:r w:rsidRPr="0088512D">
        <w:rPr>
          <w:rFonts w:ascii="Times New Roman" w:hAnsi="Times New Roman"/>
          <w:sz w:val="24"/>
          <w:szCs w:val="24"/>
          <w:lang w:val="en-US"/>
        </w:rPr>
        <w:t xml:space="preserve">      Moreover, it is apparent from the </w:t>
      </w:r>
      <w:proofErr w:type="spellStart"/>
      <w:r w:rsidRPr="0088512D">
        <w:rPr>
          <w:rFonts w:ascii="Times New Roman" w:hAnsi="Times New Roman"/>
          <w:sz w:val="24"/>
          <w:szCs w:val="24"/>
          <w:lang w:val="en-US"/>
        </w:rPr>
        <w:t>NMa’s</w:t>
      </w:r>
      <w:proofErr w:type="spellEnd"/>
      <w:r w:rsidRPr="0088512D">
        <w:rPr>
          <w:rFonts w:ascii="Times New Roman" w:hAnsi="Times New Roman"/>
          <w:sz w:val="24"/>
          <w:szCs w:val="24"/>
          <w:lang w:val="en-US"/>
        </w:rPr>
        <w:t xml:space="preserve"> decision of 16 December 2009 that the applicant’s complaint </w:t>
      </w:r>
      <w:proofErr w:type="gramStart"/>
      <w:r w:rsidRPr="0088512D">
        <w:rPr>
          <w:rFonts w:ascii="Times New Roman" w:hAnsi="Times New Roman"/>
          <w:sz w:val="24"/>
          <w:szCs w:val="24"/>
          <w:lang w:val="en-US"/>
        </w:rPr>
        <w:t>was reviewed</w:t>
      </w:r>
      <w:proofErr w:type="gramEnd"/>
      <w:r w:rsidRPr="0088512D">
        <w:rPr>
          <w:rFonts w:ascii="Times New Roman" w:hAnsi="Times New Roman"/>
          <w:sz w:val="24"/>
          <w:szCs w:val="24"/>
          <w:lang w:val="en-US"/>
        </w:rPr>
        <w:t xml:space="preserve"> in the light of the provisions of Article 24 of the MW and of Article 102 TFEU.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in particular held therein, as noted by the Commission in the contested decision, that the assessment of the concepts of non-discrimination and reasonableness set out in Articles 8.25d(2) and (3) of the WL was similar to that carried out under EU competition law.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also pointed out that, in its decision of 14 July 2009, it had interpreted the provisions of the WL in accordance with the </w:t>
      </w:r>
      <w:proofErr w:type="gramStart"/>
      <w:r w:rsidRPr="0088512D">
        <w:rPr>
          <w:rFonts w:ascii="Times New Roman" w:hAnsi="Times New Roman"/>
          <w:sz w:val="24"/>
          <w:szCs w:val="24"/>
          <w:lang w:val="en-US"/>
        </w:rPr>
        <w:t>case-law</w:t>
      </w:r>
      <w:proofErr w:type="gramEnd"/>
      <w:r w:rsidRPr="0088512D">
        <w:rPr>
          <w:rFonts w:ascii="Times New Roman" w:hAnsi="Times New Roman"/>
          <w:sz w:val="24"/>
          <w:szCs w:val="24"/>
          <w:lang w:val="en-US"/>
        </w:rPr>
        <w:t xml:space="preserve"> of the Courts of the European Union relating to Article 102 TFEU. It further noted that a definition of the relevant market, which was to be carried out as part of an investigation conducted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the provisions of competition law, was not necessary in this case, since it had assumed that Schiphol was in a position of economic strength.</w:t>
      </w:r>
    </w:p>
    <w:p w:rsidR="00AE47CC" w:rsidRPr="0088512D" w:rsidRDefault="00AE47CC" w:rsidP="00AE47CC">
      <w:pPr>
        <w:jc w:val="both"/>
        <w:rPr>
          <w:rFonts w:ascii="Times New Roman" w:hAnsi="Times New Roman"/>
          <w:sz w:val="24"/>
          <w:szCs w:val="24"/>
          <w:lang w:val="en-US"/>
        </w:rPr>
      </w:pPr>
      <w:bookmarkStart w:id="50" w:name="point49"/>
      <w:r w:rsidRPr="0088512D">
        <w:rPr>
          <w:rFonts w:ascii="Times New Roman" w:hAnsi="Times New Roman"/>
          <w:sz w:val="24"/>
          <w:szCs w:val="24"/>
          <w:lang w:val="en-US"/>
        </w:rPr>
        <w:t>49</w:t>
      </w:r>
      <w:bookmarkEnd w:id="50"/>
      <w:r w:rsidRPr="0088512D">
        <w:rPr>
          <w:rFonts w:ascii="Times New Roman" w:hAnsi="Times New Roman"/>
          <w:sz w:val="24"/>
          <w:szCs w:val="24"/>
          <w:lang w:val="en-US"/>
        </w:rPr>
        <w:t xml:space="preserve">      It follows from the foregoing that the Commission did not err in law in rejecting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13(2) of Regulation No 1/2003, since the Commission found that the competition authority of a Member State had dealt with that complaint on the basis of Article 102 TFEU.</w:t>
      </w:r>
    </w:p>
    <w:p w:rsidR="00AE47CC" w:rsidRPr="0088512D" w:rsidRDefault="00AE47CC" w:rsidP="00AE47CC">
      <w:pPr>
        <w:jc w:val="both"/>
        <w:rPr>
          <w:rFonts w:ascii="Times New Roman" w:hAnsi="Times New Roman"/>
          <w:sz w:val="24"/>
          <w:szCs w:val="24"/>
          <w:lang w:val="en-US"/>
        </w:rPr>
      </w:pPr>
      <w:bookmarkStart w:id="51" w:name="point50"/>
      <w:r w:rsidRPr="0088512D">
        <w:rPr>
          <w:rFonts w:ascii="Times New Roman" w:hAnsi="Times New Roman"/>
          <w:sz w:val="24"/>
          <w:szCs w:val="24"/>
          <w:lang w:val="en-US"/>
        </w:rPr>
        <w:t>50</w:t>
      </w:r>
      <w:bookmarkEnd w:id="51"/>
      <w:r w:rsidRPr="0088512D">
        <w:rPr>
          <w:rFonts w:ascii="Times New Roman" w:hAnsi="Times New Roman"/>
          <w:sz w:val="24"/>
          <w:szCs w:val="24"/>
          <w:lang w:val="en-US"/>
        </w:rPr>
        <w:t xml:space="preserve">      While acknowledging that the provisions of the WL at issue refer in part to concepts derived from EU competition law, the applicant puts forward five arguments designed to establish that the Commission made a manifest error of assessment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its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102 TFEU.</w:t>
      </w:r>
    </w:p>
    <w:p w:rsidR="00AE47CC" w:rsidRPr="0088512D" w:rsidRDefault="00AE47CC" w:rsidP="00AE47CC">
      <w:pPr>
        <w:jc w:val="both"/>
        <w:rPr>
          <w:rFonts w:ascii="Times New Roman" w:hAnsi="Times New Roman"/>
          <w:sz w:val="24"/>
          <w:szCs w:val="24"/>
          <w:lang w:val="en-US"/>
        </w:rPr>
      </w:pPr>
      <w:bookmarkStart w:id="52" w:name="point51"/>
      <w:proofErr w:type="gramStart"/>
      <w:r w:rsidRPr="0088512D">
        <w:rPr>
          <w:rFonts w:ascii="Times New Roman" w:hAnsi="Times New Roman"/>
          <w:sz w:val="24"/>
          <w:szCs w:val="24"/>
          <w:lang w:val="en-US"/>
        </w:rPr>
        <w:t>51</w:t>
      </w:r>
      <w:bookmarkEnd w:id="52"/>
      <w:r w:rsidRPr="0088512D">
        <w:rPr>
          <w:rFonts w:ascii="Times New Roman" w:hAnsi="Times New Roman"/>
          <w:sz w:val="24"/>
          <w:szCs w:val="24"/>
          <w:lang w:val="en-US"/>
        </w:rPr>
        <w:t xml:space="preserve">      It is apparent from paragraph 20 above that, in order to respond to the applicant’s arguments, the Court must confine itself to establishing that, in rejecting the complaint on the basis of Article 13(2) of Regulation No 1/2003, the Commission did not err in law or make a manifest error of assessment in forming the view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already dealt with the applicant’s complaint in the light of EU competition law.</w:t>
      </w:r>
      <w:proofErr w:type="gramEnd"/>
      <w:r w:rsidRPr="0088512D">
        <w:rPr>
          <w:rFonts w:ascii="Times New Roman" w:hAnsi="Times New Roman"/>
          <w:sz w:val="24"/>
          <w:szCs w:val="24"/>
          <w:lang w:val="en-US"/>
        </w:rPr>
        <w:t xml:space="preserve"> It was for the Commission, in that context, to establish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not rejected the applicant’s complaint without having first conducted its examination in the light of EU competition law rules. However, the Court’s review must not lead to an appraisal of the merits of the </w:t>
      </w:r>
      <w:proofErr w:type="spellStart"/>
      <w:r w:rsidRPr="0088512D">
        <w:rPr>
          <w:rFonts w:ascii="Times New Roman" w:hAnsi="Times New Roman"/>
          <w:sz w:val="24"/>
          <w:szCs w:val="24"/>
          <w:lang w:val="en-US"/>
        </w:rPr>
        <w:t>NMa’s</w:t>
      </w:r>
      <w:proofErr w:type="spellEnd"/>
      <w:r w:rsidRPr="0088512D">
        <w:rPr>
          <w:rFonts w:ascii="Times New Roman" w:hAnsi="Times New Roman"/>
          <w:sz w:val="24"/>
          <w:szCs w:val="24"/>
          <w:lang w:val="en-US"/>
        </w:rPr>
        <w:t xml:space="preserve"> decision or of the procedure or methodology used by the latter, which assessment the Commission did not itself carry out, moreover, and which is a matter for the national courts.</w:t>
      </w:r>
    </w:p>
    <w:p w:rsidR="00AE47CC" w:rsidRPr="0088512D" w:rsidRDefault="00AE47CC" w:rsidP="00AE47CC">
      <w:pPr>
        <w:jc w:val="both"/>
        <w:rPr>
          <w:rFonts w:ascii="Times New Roman" w:hAnsi="Times New Roman"/>
          <w:sz w:val="24"/>
          <w:szCs w:val="24"/>
          <w:lang w:val="en-US"/>
        </w:rPr>
      </w:pPr>
      <w:bookmarkStart w:id="53" w:name="point52"/>
      <w:r w:rsidRPr="0088512D">
        <w:rPr>
          <w:rFonts w:ascii="Times New Roman" w:hAnsi="Times New Roman"/>
          <w:sz w:val="24"/>
          <w:szCs w:val="24"/>
          <w:lang w:val="en-US"/>
        </w:rPr>
        <w:t>52</w:t>
      </w:r>
      <w:bookmarkEnd w:id="53"/>
      <w:r w:rsidRPr="0088512D">
        <w:rPr>
          <w:rFonts w:ascii="Times New Roman" w:hAnsi="Times New Roman"/>
          <w:sz w:val="24"/>
          <w:szCs w:val="24"/>
          <w:lang w:val="en-US"/>
        </w:rPr>
        <w:t xml:space="preserve">      First, the applicant states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did not define the relevant market, which, in its view, is an essential element of any examination of compliance with Article 102 TFEU, and that the Commission could not, therefore, conclude that the complaint had been dealt with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that provision. Such an argument must, however, be rejected as irrelevant in the light of the scope and purpose of the review carried out by the Court, referred to in paragraph 51 above. That argument relates to the methodology and merits of the analysis applied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for the purpose of</w:t>
      </w:r>
      <w:proofErr w:type="gramEnd"/>
      <w:r w:rsidRPr="0088512D">
        <w:rPr>
          <w:rFonts w:ascii="Times New Roman" w:hAnsi="Times New Roman"/>
          <w:sz w:val="24"/>
          <w:szCs w:val="24"/>
          <w:lang w:val="en-US"/>
        </w:rPr>
        <w:t xml:space="preserve"> processing the applicant’s complaint.</w:t>
      </w:r>
    </w:p>
    <w:p w:rsidR="00AE47CC" w:rsidRPr="0088512D" w:rsidRDefault="00AE47CC" w:rsidP="00AE47CC">
      <w:pPr>
        <w:jc w:val="both"/>
        <w:rPr>
          <w:rFonts w:ascii="Times New Roman" w:hAnsi="Times New Roman"/>
          <w:sz w:val="24"/>
          <w:szCs w:val="24"/>
          <w:lang w:val="en-US"/>
        </w:rPr>
      </w:pPr>
      <w:bookmarkStart w:id="54" w:name="point53"/>
      <w:r w:rsidRPr="0088512D">
        <w:rPr>
          <w:rFonts w:ascii="Times New Roman" w:hAnsi="Times New Roman"/>
          <w:sz w:val="24"/>
          <w:szCs w:val="24"/>
          <w:lang w:val="en-US"/>
        </w:rPr>
        <w:t>53</w:t>
      </w:r>
      <w:bookmarkEnd w:id="54"/>
      <w:r w:rsidRPr="0088512D">
        <w:rPr>
          <w:rFonts w:ascii="Times New Roman" w:hAnsi="Times New Roman"/>
          <w:sz w:val="24"/>
          <w:szCs w:val="24"/>
          <w:lang w:val="en-US"/>
        </w:rPr>
        <w:t xml:space="preserve">      For the sake of completeness, it </w:t>
      </w:r>
      <w:proofErr w:type="gramStart"/>
      <w:r w:rsidRPr="0088512D">
        <w:rPr>
          <w:rFonts w:ascii="Times New Roman" w:hAnsi="Times New Roman"/>
          <w:sz w:val="24"/>
          <w:szCs w:val="24"/>
          <w:lang w:val="en-US"/>
        </w:rPr>
        <w:t>must be held</w:t>
      </w:r>
      <w:proofErr w:type="gramEnd"/>
      <w:r w:rsidRPr="0088512D">
        <w:rPr>
          <w:rFonts w:ascii="Times New Roman" w:hAnsi="Times New Roman"/>
          <w:sz w:val="24"/>
          <w:szCs w:val="24"/>
          <w:lang w:val="en-US"/>
        </w:rPr>
        <w:t xml:space="preserve"> that, in the present case,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was not required to define the relevant market.</w:t>
      </w:r>
    </w:p>
    <w:p w:rsidR="00AE47CC" w:rsidRPr="0088512D" w:rsidRDefault="00AE47CC" w:rsidP="00AE47CC">
      <w:pPr>
        <w:jc w:val="both"/>
        <w:rPr>
          <w:rFonts w:ascii="Times New Roman" w:hAnsi="Times New Roman"/>
          <w:sz w:val="24"/>
          <w:szCs w:val="24"/>
          <w:lang w:val="en-US"/>
        </w:rPr>
      </w:pPr>
      <w:bookmarkStart w:id="55" w:name="point54"/>
      <w:proofErr w:type="gramStart"/>
      <w:r w:rsidRPr="0088512D">
        <w:rPr>
          <w:rFonts w:ascii="Times New Roman" w:hAnsi="Times New Roman"/>
          <w:sz w:val="24"/>
          <w:szCs w:val="24"/>
          <w:lang w:val="en-US"/>
        </w:rPr>
        <w:lastRenderedPageBreak/>
        <w:t>54</w:t>
      </w:r>
      <w:bookmarkEnd w:id="55"/>
      <w:r w:rsidRPr="0088512D">
        <w:rPr>
          <w:rFonts w:ascii="Times New Roman" w:hAnsi="Times New Roman"/>
          <w:sz w:val="24"/>
          <w:szCs w:val="24"/>
          <w:lang w:val="en-US"/>
        </w:rPr>
        <w:t xml:space="preserve">      It is true that, according to the case-law, the determination of the relevant market is of critical importance for the purpose of establishing whether a company is in a dominant position, since the possibilities of competition can be judged only in relation to the characteristics of the goods or services in question, as a result of which characteristics those goods or services are particularly suitable for satisfying constant needs and are only to a limited extent interchangeable with other products or services (judgments of 21 February 1973 in </w:t>
      </w:r>
      <w:proofErr w:type="spellStart"/>
      <w:r w:rsidRPr="0088512D">
        <w:rPr>
          <w:rFonts w:ascii="Times New Roman" w:hAnsi="Times New Roman"/>
          <w:i/>
          <w:iCs/>
          <w:sz w:val="24"/>
          <w:szCs w:val="24"/>
          <w:lang w:val="en-US"/>
        </w:rPr>
        <w:t>Europemballage</w:t>
      </w:r>
      <w:proofErr w:type="spellEnd"/>
      <w:r w:rsidRPr="0088512D">
        <w:rPr>
          <w:rFonts w:ascii="Times New Roman" w:hAnsi="Times New Roman"/>
          <w:i/>
          <w:iCs/>
          <w:sz w:val="24"/>
          <w:szCs w:val="24"/>
          <w:lang w:val="en-US"/>
        </w:rPr>
        <w:t xml:space="preserve"> and Continental Can </w:t>
      </w:r>
      <w:r w:rsidRPr="0088512D">
        <w:rPr>
          <w:rFonts w:ascii="Times New Roman" w:hAnsi="Times New Roman"/>
          <w:sz w:val="24"/>
          <w:szCs w:val="24"/>
          <w:lang w:val="en-US"/>
        </w:rPr>
        <w:t xml:space="preserve">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6/72, ECR, EU:C:1973:22, paragraph 32, and of 30 January 2007 in </w:t>
      </w:r>
      <w:r w:rsidRPr="0088512D">
        <w:rPr>
          <w:rFonts w:ascii="Times New Roman" w:hAnsi="Times New Roman"/>
          <w:i/>
          <w:iCs/>
          <w:sz w:val="24"/>
          <w:szCs w:val="24"/>
          <w:lang w:val="en-US"/>
        </w:rPr>
        <w:t xml:space="preserve">France </w:t>
      </w:r>
      <w:proofErr w:type="spellStart"/>
      <w:r w:rsidRPr="0088512D">
        <w:rPr>
          <w:rFonts w:ascii="Times New Roman" w:hAnsi="Times New Roman"/>
          <w:i/>
          <w:iCs/>
          <w:sz w:val="24"/>
          <w:szCs w:val="24"/>
          <w:lang w:val="en-US"/>
        </w:rPr>
        <w:t>Télécom</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340/03, ECR, EU:T:2007:22, paragraph 78).</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Furthermore, according to settled case-law, a dominant position is demonstrated by the fact that the undertaking concerned is in a position of economic strength which enables it to prevent effective competition being maintained on the relevant market by giving it the power to behave to an appreciable extent independently of its competitors, its customers and, ultimately, consumers (judgments of 14 February 1978 in </w:t>
      </w:r>
      <w:r w:rsidRPr="0088512D">
        <w:rPr>
          <w:rFonts w:ascii="Times New Roman" w:hAnsi="Times New Roman"/>
          <w:i/>
          <w:iCs/>
          <w:sz w:val="24"/>
          <w:szCs w:val="24"/>
          <w:lang w:val="en-US"/>
        </w:rPr>
        <w:t xml:space="preserve">United Brands and United Brands </w:t>
      </w:r>
      <w:proofErr w:type="spellStart"/>
      <w:r w:rsidRPr="0088512D">
        <w:rPr>
          <w:rFonts w:ascii="Times New Roman" w:hAnsi="Times New Roman"/>
          <w:i/>
          <w:iCs/>
          <w:sz w:val="24"/>
          <w:szCs w:val="24"/>
          <w:lang w:val="en-US"/>
        </w:rPr>
        <w:t>Continentaal</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27/76, ECR, EU:C:1978:22, paragraph 65; of 13 February 1979 in </w:t>
      </w:r>
      <w:r w:rsidRPr="0088512D">
        <w:rPr>
          <w:rFonts w:ascii="Times New Roman" w:hAnsi="Times New Roman"/>
          <w:i/>
          <w:iCs/>
          <w:sz w:val="24"/>
          <w:szCs w:val="24"/>
          <w:lang w:val="en-US"/>
        </w:rPr>
        <w:t xml:space="preserve">Hoffmann-La Roche </w:t>
      </w:r>
      <w:r w:rsidRPr="0088512D">
        <w:rPr>
          <w:rFonts w:ascii="Times New Roman" w:hAnsi="Times New Roman"/>
          <w:sz w:val="24"/>
          <w:szCs w:val="24"/>
          <w:lang w:val="en-US"/>
        </w:rPr>
        <w:t xml:space="preserve">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85/76, ECR, EU:C:1979:36, paragraph 38; and in </w:t>
      </w:r>
      <w:r w:rsidRPr="0088512D">
        <w:rPr>
          <w:rFonts w:ascii="Times New Roman" w:hAnsi="Times New Roman"/>
          <w:i/>
          <w:iCs/>
          <w:sz w:val="24"/>
          <w:szCs w:val="24"/>
          <w:lang w:val="en-US"/>
        </w:rPr>
        <w:t xml:space="preserve">France </w:t>
      </w:r>
      <w:proofErr w:type="spellStart"/>
      <w:r w:rsidRPr="0088512D">
        <w:rPr>
          <w:rFonts w:ascii="Times New Roman" w:hAnsi="Times New Roman"/>
          <w:i/>
          <w:iCs/>
          <w:sz w:val="24"/>
          <w:szCs w:val="24"/>
          <w:lang w:val="en-US"/>
        </w:rPr>
        <w:t>Télécom</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EU:T:2007:22, paragraph 99).</w:t>
      </w:r>
      <w:proofErr w:type="gramEnd"/>
    </w:p>
    <w:p w:rsidR="00AE47CC" w:rsidRPr="0088512D" w:rsidRDefault="00AE47CC" w:rsidP="00AE47CC">
      <w:pPr>
        <w:jc w:val="both"/>
        <w:rPr>
          <w:rFonts w:ascii="Times New Roman" w:hAnsi="Times New Roman"/>
          <w:sz w:val="24"/>
          <w:szCs w:val="24"/>
          <w:lang w:val="en-US"/>
        </w:rPr>
      </w:pPr>
      <w:bookmarkStart w:id="56" w:name="point55"/>
      <w:proofErr w:type="gramStart"/>
      <w:r w:rsidRPr="0088512D">
        <w:rPr>
          <w:rFonts w:ascii="Times New Roman" w:hAnsi="Times New Roman"/>
          <w:sz w:val="24"/>
          <w:szCs w:val="24"/>
          <w:lang w:val="en-US"/>
        </w:rPr>
        <w:t>55</w:t>
      </w:r>
      <w:bookmarkEnd w:id="56"/>
      <w:r w:rsidRPr="0088512D">
        <w:rPr>
          <w:rFonts w:ascii="Times New Roman" w:hAnsi="Times New Roman"/>
          <w:sz w:val="24"/>
          <w:szCs w:val="24"/>
          <w:lang w:val="en-US"/>
        </w:rPr>
        <w:t xml:space="preserve">      In the present case, however, it is clear from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14 July 2009 that it was assumed that the intervener was in a position of economic strength and that, consequently, as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has noted in paragraph 16 of its decision of 16 December 2009, since the intervener was in a dominant position, it was not necessary to proceed with the determination of the relevant market.</w:t>
      </w:r>
      <w:proofErr w:type="gramEnd"/>
      <w:r w:rsidRPr="0088512D">
        <w:rPr>
          <w:rFonts w:ascii="Times New Roman" w:hAnsi="Times New Roman"/>
          <w:sz w:val="24"/>
          <w:szCs w:val="24"/>
          <w:lang w:val="en-US"/>
        </w:rPr>
        <w:t xml:space="preserve"> The Commission </w:t>
      </w:r>
      <w:proofErr w:type="gramStart"/>
      <w:r w:rsidRPr="0088512D">
        <w:rPr>
          <w:rFonts w:ascii="Times New Roman" w:hAnsi="Times New Roman"/>
          <w:sz w:val="24"/>
          <w:szCs w:val="24"/>
          <w:lang w:val="en-US"/>
        </w:rPr>
        <w:t>has therefore not, on any view, marred</w:t>
      </w:r>
      <w:proofErr w:type="gramEnd"/>
      <w:r w:rsidRPr="0088512D">
        <w:rPr>
          <w:rFonts w:ascii="Times New Roman" w:hAnsi="Times New Roman"/>
          <w:sz w:val="24"/>
          <w:szCs w:val="24"/>
          <w:lang w:val="en-US"/>
        </w:rPr>
        <w:t xml:space="preserve"> its decision with a manifest error by forming the view that the applicant’s complaint had been dealt with in compliance with the rules for assessment laid down by EU competition law.</w:t>
      </w:r>
    </w:p>
    <w:p w:rsidR="00AE47CC" w:rsidRPr="0088512D" w:rsidRDefault="00AE47CC" w:rsidP="00AE47CC">
      <w:pPr>
        <w:jc w:val="both"/>
        <w:rPr>
          <w:rFonts w:ascii="Times New Roman" w:hAnsi="Times New Roman"/>
          <w:sz w:val="24"/>
          <w:szCs w:val="24"/>
          <w:lang w:val="en-US"/>
        </w:rPr>
      </w:pPr>
      <w:bookmarkStart w:id="57" w:name="point56"/>
      <w:r w:rsidRPr="0088512D">
        <w:rPr>
          <w:rFonts w:ascii="Times New Roman" w:hAnsi="Times New Roman"/>
          <w:sz w:val="24"/>
          <w:szCs w:val="24"/>
          <w:lang w:val="en-US"/>
        </w:rPr>
        <w:t>56</w:t>
      </w:r>
      <w:bookmarkEnd w:id="57"/>
      <w:r w:rsidRPr="0088512D">
        <w:rPr>
          <w:rFonts w:ascii="Times New Roman" w:hAnsi="Times New Roman"/>
          <w:sz w:val="24"/>
          <w:szCs w:val="24"/>
          <w:lang w:val="en-US"/>
        </w:rPr>
        <w:t xml:space="preserve">      Secondly, the applicant contends that a review carried out under Article 102 TFEU would have led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to a different conclusion, with regard to the intervener’s abusive conduct in relation to price discrimination.</w:t>
      </w:r>
    </w:p>
    <w:p w:rsidR="00AE47CC" w:rsidRPr="0088512D" w:rsidRDefault="00AE47CC" w:rsidP="00AE47CC">
      <w:pPr>
        <w:jc w:val="both"/>
        <w:rPr>
          <w:rFonts w:ascii="Times New Roman" w:hAnsi="Times New Roman"/>
          <w:sz w:val="24"/>
          <w:szCs w:val="24"/>
          <w:lang w:val="en-US"/>
        </w:rPr>
      </w:pPr>
      <w:bookmarkStart w:id="58" w:name="point57"/>
      <w:r w:rsidRPr="0088512D">
        <w:rPr>
          <w:rFonts w:ascii="Times New Roman" w:hAnsi="Times New Roman"/>
          <w:sz w:val="24"/>
          <w:szCs w:val="24"/>
          <w:lang w:val="en-US"/>
        </w:rPr>
        <w:t>57</w:t>
      </w:r>
      <w:bookmarkEnd w:id="58"/>
      <w:r w:rsidRPr="0088512D">
        <w:rPr>
          <w:rFonts w:ascii="Times New Roman" w:hAnsi="Times New Roman"/>
          <w:sz w:val="24"/>
          <w:szCs w:val="24"/>
          <w:lang w:val="en-US"/>
        </w:rPr>
        <w:t xml:space="preserve">      It </w:t>
      </w:r>
      <w:proofErr w:type="gramStart"/>
      <w:r w:rsidRPr="0088512D">
        <w:rPr>
          <w:rFonts w:ascii="Times New Roman" w:hAnsi="Times New Roman"/>
          <w:sz w:val="24"/>
          <w:szCs w:val="24"/>
          <w:lang w:val="en-US"/>
        </w:rPr>
        <w:t>should be noted</w:t>
      </w:r>
      <w:proofErr w:type="gramEnd"/>
      <w:r w:rsidRPr="0088512D">
        <w:rPr>
          <w:rFonts w:ascii="Times New Roman" w:hAnsi="Times New Roman"/>
          <w:sz w:val="24"/>
          <w:szCs w:val="24"/>
          <w:lang w:val="en-US"/>
        </w:rPr>
        <w:t xml:space="preserve"> at the outset that it is not for the Court to review the legality of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(see paragraph 51 above). </w:t>
      </w:r>
      <w:proofErr w:type="gramStart"/>
      <w:r w:rsidRPr="0088512D">
        <w:rPr>
          <w:rFonts w:ascii="Times New Roman" w:hAnsi="Times New Roman"/>
          <w:sz w:val="24"/>
          <w:szCs w:val="24"/>
          <w:lang w:val="en-US"/>
        </w:rPr>
        <w:t xml:space="preserve">It is, by contrast, the Court’s task to verify that the Commission has not erred in law or made a manifest error of assessment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already dealt with the applicant’s complaint by using the definition of the concept of discrimination contained in Article 102 TFEU.</w:t>
      </w:r>
      <w:proofErr w:type="gramEnd"/>
    </w:p>
    <w:p w:rsidR="00AE47CC" w:rsidRPr="0088512D" w:rsidRDefault="00AE47CC" w:rsidP="00AE47CC">
      <w:pPr>
        <w:jc w:val="both"/>
        <w:rPr>
          <w:rFonts w:ascii="Times New Roman" w:hAnsi="Times New Roman"/>
          <w:sz w:val="24"/>
          <w:szCs w:val="24"/>
          <w:lang w:val="en-US"/>
        </w:rPr>
      </w:pPr>
      <w:bookmarkStart w:id="59" w:name="point58"/>
      <w:r w:rsidRPr="0088512D">
        <w:rPr>
          <w:rFonts w:ascii="Times New Roman" w:hAnsi="Times New Roman"/>
          <w:sz w:val="24"/>
          <w:szCs w:val="24"/>
          <w:lang w:val="en-US"/>
        </w:rPr>
        <w:t>58</w:t>
      </w:r>
      <w:bookmarkEnd w:id="59"/>
      <w:r w:rsidRPr="0088512D">
        <w:rPr>
          <w:rFonts w:ascii="Times New Roman" w:hAnsi="Times New Roman"/>
          <w:sz w:val="24"/>
          <w:szCs w:val="24"/>
          <w:lang w:val="en-US"/>
        </w:rPr>
        <w:t xml:space="preserve">      In that regard, it is apparent from the contested decision that, in the analysis that led to its decision of 14 July 2009,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took account of the definition of discrimination contained in Article 102 TFEU. As noted by the Commission in the contested decision,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in its decision of 14 July 2009, both examined the equivalence of the services offered by the intervener to various airlines and assessed the competitive disadvantage caused by the prices charged (paragraphs 113 to 156). In order to carry out that review,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explicitly stated that it was using the definition of discrimination contained in Article 102 TFEU, as interpreted by the Court of Justice (paragraph 33).</w:t>
      </w:r>
    </w:p>
    <w:p w:rsidR="00AE47CC" w:rsidRPr="0088512D" w:rsidRDefault="00AE47CC" w:rsidP="00AE47CC">
      <w:pPr>
        <w:jc w:val="both"/>
        <w:rPr>
          <w:rFonts w:ascii="Times New Roman" w:hAnsi="Times New Roman"/>
          <w:sz w:val="24"/>
          <w:szCs w:val="24"/>
          <w:lang w:val="en-US"/>
        </w:rPr>
      </w:pPr>
      <w:bookmarkStart w:id="60" w:name="point59"/>
      <w:proofErr w:type="gramStart"/>
      <w:r w:rsidRPr="0088512D">
        <w:rPr>
          <w:rFonts w:ascii="Times New Roman" w:hAnsi="Times New Roman"/>
          <w:sz w:val="24"/>
          <w:szCs w:val="24"/>
          <w:lang w:val="en-US"/>
        </w:rPr>
        <w:t>59</w:t>
      </w:r>
      <w:bookmarkEnd w:id="60"/>
      <w:r w:rsidRPr="0088512D">
        <w:rPr>
          <w:rFonts w:ascii="Times New Roman" w:hAnsi="Times New Roman"/>
          <w:sz w:val="24"/>
          <w:szCs w:val="24"/>
          <w:lang w:val="en-US"/>
        </w:rPr>
        <w:t xml:space="preserve">      The applicant submits, thirdly,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stated in another decision that, although the concepts contained in the WL could be interpreted with the aid of competition law, the overall assessment of a case under the WL did not take place within the framework of competition law and that any question relating to a breach of competition rules could not be resolved as part of an investigation conducted under the WL. That matter, however, even if it is not disputed, has </w:t>
      </w:r>
      <w:r w:rsidRPr="0088512D">
        <w:rPr>
          <w:rFonts w:ascii="Times New Roman" w:hAnsi="Times New Roman"/>
          <w:sz w:val="24"/>
          <w:szCs w:val="24"/>
          <w:lang w:val="en-US"/>
        </w:rPr>
        <w:lastRenderedPageBreak/>
        <w:t xml:space="preserve">no bearing on the lawfulness of the contested decision, since here, on the one hand, the Commission was not bound by the assessments made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in a separate case and, on the other, it is clear from the foregoing that the Commission did indeed check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investigated, in the light of Article 102 TFEU, the complaint which had been brought before it.</w:t>
      </w:r>
      <w:proofErr w:type="gramEnd"/>
    </w:p>
    <w:p w:rsidR="00AE47CC" w:rsidRPr="0088512D" w:rsidRDefault="00AE47CC" w:rsidP="00AE47CC">
      <w:pPr>
        <w:jc w:val="both"/>
        <w:rPr>
          <w:rFonts w:ascii="Times New Roman" w:hAnsi="Times New Roman"/>
          <w:sz w:val="24"/>
          <w:szCs w:val="24"/>
          <w:lang w:val="en-US"/>
        </w:rPr>
      </w:pPr>
      <w:bookmarkStart w:id="61" w:name="point60"/>
      <w:r w:rsidRPr="0088512D">
        <w:rPr>
          <w:rFonts w:ascii="Times New Roman" w:hAnsi="Times New Roman"/>
          <w:sz w:val="24"/>
          <w:szCs w:val="24"/>
          <w:lang w:val="en-US"/>
        </w:rPr>
        <w:t>60</w:t>
      </w:r>
      <w:bookmarkEnd w:id="61"/>
      <w:r w:rsidRPr="0088512D">
        <w:rPr>
          <w:rFonts w:ascii="Times New Roman" w:hAnsi="Times New Roman"/>
          <w:sz w:val="24"/>
          <w:szCs w:val="24"/>
          <w:lang w:val="en-US"/>
        </w:rPr>
        <w:t xml:space="preserve">      The applicant maintains, fourthly, that </w:t>
      </w:r>
      <w:proofErr w:type="gramStart"/>
      <w:r w:rsidRPr="0088512D">
        <w:rPr>
          <w:rFonts w:ascii="Times New Roman" w:hAnsi="Times New Roman"/>
          <w:sz w:val="24"/>
          <w:szCs w:val="24"/>
          <w:lang w:val="en-US"/>
        </w:rPr>
        <w:t>the review of a complaint under the WL is carried out exclusively by the aviation control department, which has separate powers and duties from those of the competition directorate, and does not take account of the general objectives of EU competition policy</w:t>
      </w:r>
      <w:proofErr w:type="gramEnd"/>
      <w:r w:rsidRPr="0088512D">
        <w:rPr>
          <w:rFonts w:ascii="Times New Roman" w:hAnsi="Times New Roman"/>
          <w:sz w:val="24"/>
          <w:szCs w:val="24"/>
          <w:lang w:val="en-US"/>
        </w:rPr>
        <w:t xml:space="preserve">. That argument must be rejected, however, since the aviation control department was part of the Netherlands competition authority and </w:t>
      </w:r>
      <w:proofErr w:type="gramStart"/>
      <w:r w:rsidRPr="0088512D">
        <w:rPr>
          <w:rFonts w:ascii="Times New Roman" w:hAnsi="Times New Roman"/>
          <w:sz w:val="24"/>
          <w:szCs w:val="24"/>
          <w:lang w:val="en-US"/>
        </w:rPr>
        <w:t xml:space="preserve">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on which the Commission relied in rejecting the applicant’s complaint was adopted by its single board</w:t>
      </w:r>
      <w:proofErr w:type="gramEnd"/>
      <w:r w:rsidRPr="0088512D">
        <w:rPr>
          <w:rFonts w:ascii="Times New Roman" w:hAnsi="Times New Roman"/>
          <w:sz w:val="24"/>
          <w:szCs w:val="24"/>
          <w:lang w:val="en-US"/>
        </w:rPr>
        <w:t xml:space="preserve">. It is important to bear in mind that Article 13(2) of Regulation No 1/2003, and indeed the provisions of that regulation as a whole, refers to the ‘competition authority of a Member State’ without distinguishing between the different departments of that authority. </w:t>
      </w:r>
      <w:proofErr w:type="gramStart"/>
      <w:r w:rsidRPr="0088512D">
        <w:rPr>
          <w:rFonts w:ascii="Times New Roman" w:hAnsi="Times New Roman"/>
          <w:sz w:val="24"/>
          <w:szCs w:val="24"/>
          <w:lang w:val="en-US"/>
        </w:rPr>
        <w:t xml:space="preserve">Consequently, it is unnecessary to establish the composition of the teams which investigated the applicant’s complaint on the basis of the WL, since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conducted a review of the applicant’s complaint in the light of competition law and it is apparent from the foregoing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was properly entitled to rely on the analysis carried out in connection with the complaint based on the WL.</w:t>
      </w:r>
      <w:proofErr w:type="gramEnd"/>
    </w:p>
    <w:p w:rsidR="00AE47CC" w:rsidRPr="0088512D" w:rsidRDefault="00AE47CC" w:rsidP="00AE47CC">
      <w:pPr>
        <w:jc w:val="both"/>
        <w:rPr>
          <w:rFonts w:ascii="Times New Roman" w:hAnsi="Times New Roman"/>
          <w:sz w:val="24"/>
          <w:szCs w:val="24"/>
          <w:lang w:val="en-US"/>
        </w:rPr>
      </w:pPr>
      <w:bookmarkStart w:id="62" w:name="point61"/>
      <w:r w:rsidRPr="0088512D">
        <w:rPr>
          <w:rFonts w:ascii="Times New Roman" w:hAnsi="Times New Roman"/>
          <w:sz w:val="24"/>
          <w:szCs w:val="24"/>
          <w:lang w:val="en-US"/>
        </w:rPr>
        <w:t>61</w:t>
      </w:r>
      <w:bookmarkEnd w:id="62"/>
      <w:r w:rsidRPr="0088512D">
        <w:rPr>
          <w:rFonts w:ascii="Times New Roman" w:hAnsi="Times New Roman"/>
          <w:sz w:val="24"/>
          <w:szCs w:val="24"/>
          <w:lang w:val="en-US"/>
        </w:rPr>
        <w:t xml:space="preserve">      Finally, the applicant’s argument that the contested decision has the effect of enabling a large class of potential abuses to avoid the scrutiny of competition authorities, in breach of Article 102 TFEU, </w:t>
      </w:r>
      <w:proofErr w:type="gramStart"/>
      <w:r w:rsidRPr="0088512D">
        <w:rPr>
          <w:rFonts w:ascii="Times New Roman" w:hAnsi="Times New Roman"/>
          <w:sz w:val="24"/>
          <w:szCs w:val="24"/>
          <w:lang w:val="en-US"/>
        </w:rPr>
        <w:t>must be rejected</w:t>
      </w:r>
      <w:proofErr w:type="gramEnd"/>
      <w:r w:rsidRPr="0088512D">
        <w:rPr>
          <w:rFonts w:ascii="Times New Roman" w:hAnsi="Times New Roman"/>
          <w:sz w:val="24"/>
          <w:szCs w:val="24"/>
          <w:lang w:val="en-US"/>
        </w:rPr>
        <w:t>. It is clear from the foregoing that the contested decision specifically did not have the effect of enabling the intervener to avoid application of Article 102 TFEU.</w:t>
      </w:r>
    </w:p>
    <w:p w:rsidR="00AE47CC" w:rsidRPr="0088512D" w:rsidRDefault="00AE47CC" w:rsidP="00AE47CC">
      <w:pPr>
        <w:jc w:val="both"/>
        <w:rPr>
          <w:rFonts w:ascii="Times New Roman" w:hAnsi="Times New Roman"/>
          <w:sz w:val="24"/>
          <w:szCs w:val="24"/>
          <w:lang w:val="en-US"/>
        </w:rPr>
      </w:pPr>
      <w:bookmarkStart w:id="63" w:name="point62"/>
      <w:r w:rsidRPr="0088512D">
        <w:rPr>
          <w:rFonts w:ascii="Times New Roman" w:hAnsi="Times New Roman"/>
          <w:sz w:val="24"/>
          <w:szCs w:val="24"/>
          <w:lang w:val="en-US"/>
        </w:rPr>
        <w:t>62</w:t>
      </w:r>
      <w:bookmarkEnd w:id="63"/>
      <w:r w:rsidRPr="0088512D">
        <w:rPr>
          <w:rFonts w:ascii="Times New Roman" w:hAnsi="Times New Roman"/>
          <w:sz w:val="24"/>
          <w:szCs w:val="24"/>
          <w:lang w:val="en-US"/>
        </w:rPr>
        <w:t xml:space="preserve">      It follows from all of the foregoing that the applicant has not established that the Commission made a manifest error of assessment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102 TFEU.</w:t>
      </w:r>
    </w:p>
    <w:p w:rsidR="00AE47CC" w:rsidRPr="0088512D" w:rsidRDefault="00AE47CC" w:rsidP="00AE47CC">
      <w:pPr>
        <w:jc w:val="both"/>
        <w:rPr>
          <w:rFonts w:ascii="Times New Roman" w:hAnsi="Times New Roman"/>
          <w:sz w:val="24"/>
          <w:szCs w:val="24"/>
          <w:lang w:val="en-US"/>
        </w:rPr>
      </w:pPr>
      <w:bookmarkStart w:id="64" w:name="point63"/>
      <w:r w:rsidRPr="0088512D">
        <w:rPr>
          <w:rFonts w:ascii="Times New Roman" w:hAnsi="Times New Roman"/>
          <w:sz w:val="24"/>
          <w:szCs w:val="24"/>
          <w:lang w:val="en-US"/>
        </w:rPr>
        <w:t>63</w:t>
      </w:r>
      <w:bookmarkEnd w:id="64"/>
      <w:r w:rsidRPr="0088512D">
        <w:rPr>
          <w:rFonts w:ascii="Times New Roman" w:hAnsi="Times New Roman"/>
          <w:sz w:val="24"/>
          <w:szCs w:val="24"/>
          <w:lang w:val="en-US"/>
        </w:rPr>
        <w:t xml:space="preserve">      Consequently, the Commission did not err in law or make a manifest error of assessment in holding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the applicant’s complaint in the light of EU competition law.</w:t>
      </w:r>
    </w:p>
    <w:p w:rsidR="00AE47CC" w:rsidRPr="0088512D" w:rsidRDefault="00AE47CC" w:rsidP="00AE47CC">
      <w:pPr>
        <w:jc w:val="both"/>
        <w:rPr>
          <w:rFonts w:ascii="Times New Roman" w:hAnsi="Times New Roman"/>
          <w:sz w:val="24"/>
          <w:szCs w:val="24"/>
          <w:lang w:val="en-US"/>
        </w:rPr>
      </w:pPr>
      <w:bookmarkStart w:id="65" w:name="point64"/>
      <w:r w:rsidRPr="0088512D">
        <w:rPr>
          <w:rFonts w:ascii="Times New Roman" w:hAnsi="Times New Roman"/>
          <w:sz w:val="24"/>
          <w:szCs w:val="24"/>
          <w:lang w:val="en-US"/>
        </w:rPr>
        <w:t>64</w:t>
      </w:r>
      <w:bookmarkEnd w:id="65"/>
      <w:r w:rsidRPr="0088512D">
        <w:rPr>
          <w:rFonts w:ascii="Times New Roman" w:hAnsi="Times New Roman"/>
          <w:sz w:val="24"/>
          <w:szCs w:val="24"/>
          <w:lang w:val="en-US"/>
        </w:rPr>
        <w:t xml:space="preserve">      The first plea in law </w:t>
      </w:r>
      <w:proofErr w:type="gramStart"/>
      <w:r w:rsidRPr="0088512D">
        <w:rPr>
          <w:rFonts w:ascii="Times New Roman" w:hAnsi="Times New Roman"/>
          <w:sz w:val="24"/>
          <w:szCs w:val="24"/>
          <w:lang w:val="en-US"/>
        </w:rPr>
        <w:t>must therefore be rejected</w:t>
      </w:r>
      <w:proofErr w:type="gramEnd"/>
      <w:r w:rsidRPr="0088512D">
        <w:rPr>
          <w:rFonts w:ascii="Times New Roman" w:hAnsi="Times New Roman"/>
          <w:sz w:val="24"/>
          <w:szCs w:val="24"/>
          <w:lang w:val="en-US"/>
        </w:rPr>
        <w:t xml:space="preserve"> in its entirety.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i/>
          <w:iCs/>
          <w:sz w:val="24"/>
          <w:szCs w:val="24"/>
          <w:lang w:val="en-US"/>
        </w:rPr>
        <w:t>The second plea, alleging infringement of the obligation to state reasons</w:t>
      </w:r>
    </w:p>
    <w:p w:rsidR="00AE47CC" w:rsidRPr="0088512D" w:rsidRDefault="00AE47CC" w:rsidP="00AE47CC">
      <w:pPr>
        <w:jc w:val="both"/>
        <w:rPr>
          <w:rFonts w:ascii="Times New Roman" w:hAnsi="Times New Roman"/>
          <w:sz w:val="24"/>
          <w:szCs w:val="24"/>
          <w:lang w:val="en-US"/>
        </w:rPr>
      </w:pPr>
      <w:bookmarkStart w:id="66" w:name="point65"/>
      <w:r w:rsidRPr="0088512D">
        <w:rPr>
          <w:rFonts w:ascii="Times New Roman" w:hAnsi="Times New Roman"/>
          <w:sz w:val="24"/>
          <w:szCs w:val="24"/>
          <w:lang w:val="en-US"/>
        </w:rPr>
        <w:t>65</w:t>
      </w:r>
      <w:bookmarkEnd w:id="66"/>
      <w:r w:rsidRPr="0088512D">
        <w:rPr>
          <w:rFonts w:ascii="Times New Roman" w:hAnsi="Times New Roman"/>
          <w:sz w:val="24"/>
          <w:szCs w:val="24"/>
          <w:lang w:val="en-US"/>
        </w:rPr>
        <w:t xml:space="preserve">      The applicant submits that, inasmuch as it rejects, on a subsidiary basis, the applicant’s complaint for lack of European Union interest, the contested decision </w:t>
      </w:r>
      <w:proofErr w:type="gramStart"/>
      <w:r w:rsidRPr="0088512D">
        <w:rPr>
          <w:rFonts w:ascii="Times New Roman" w:hAnsi="Times New Roman"/>
          <w:sz w:val="24"/>
          <w:szCs w:val="24"/>
          <w:lang w:val="en-US"/>
        </w:rPr>
        <w:t>is inadequately reasoned</w:t>
      </w:r>
      <w:proofErr w:type="gramEnd"/>
      <w:r w:rsidRPr="0088512D">
        <w:rPr>
          <w:rFonts w:ascii="Times New Roman" w:hAnsi="Times New Roman"/>
          <w:sz w:val="24"/>
          <w:szCs w:val="24"/>
          <w:lang w:val="en-US"/>
        </w:rPr>
        <w:t>.</w:t>
      </w:r>
    </w:p>
    <w:p w:rsidR="00AE47CC" w:rsidRPr="0088512D" w:rsidRDefault="00AE47CC" w:rsidP="00AE47CC">
      <w:pPr>
        <w:jc w:val="both"/>
        <w:rPr>
          <w:rFonts w:ascii="Times New Roman" w:hAnsi="Times New Roman"/>
          <w:sz w:val="24"/>
          <w:szCs w:val="24"/>
          <w:lang w:val="en-US"/>
        </w:rPr>
      </w:pPr>
      <w:bookmarkStart w:id="67" w:name="point66"/>
      <w:r w:rsidRPr="0088512D">
        <w:rPr>
          <w:rFonts w:ascii="Times New Roman" w:hAnsi="Times New Roman"/>
          <w:sz w:val="24"/>
          <w:szCs w:val="24"/>
          <w:lang w:val="en-US"/>
        </w:rPr>
        <w:t>66</w:t>
      </w:r>
      <w:bookmarkEnd w:id="67"/>
      <w:r w:rsidRPr="0088512D">
        <w:rPr>
          <w:rFonts w:ascii="Times New Roman" w:hAnsi="Times New Roman"/>
          <w:sz w:val="24"/>
          <w:szCs w:val="24"/>
          <w:lang w:val="en-US"/>
        </w:rPr>
        <w:t xml:space="preserve">      The Commission contends that the second plea in law, which is necessarily subsidiary in nature, </w:t>
      </w:r>
      <w:proofErr w:type="gramStart"/>
      <w:r w:rsidRPr="0088512D">
        <w:rPr>
          <w:rFonts w:ascii="Times New Roman" w:hAnsi="Times New Roman"/>
          <w:sz w:val="24"/>
          <w:szCs w:val="24"/>
          <w:lang w:val="en-US"/>
        </w:rPr>
        <w:t>must be rejected</w:t>
      </w:r>
      <w:proofErr w:type="gramEnd"/>
      <w:r w:rsidRPr="0088512D">
        <w:rPr>
          <w:rFonts w:ascii="Times New Roman" w:hAnsi="Times New Roman"/>
          <w:sz w:val="24"/>
          <w:szCs w:val="24"/>
          <w:lang w:val="en-US"/>
        </w:rPr>
        <w:t xml:space="preserve">, since the contested decision, supplemented by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16 December 2009, sets out clearly the reasons why the case did not present a sufficient European Union interest.</w:t>
      </w:r>
    </w:p>
    <w:p w:rsidR="00AE47CC" w:rsidRPr="0088512D" w:rsidRDefault="00AE47CC" w:rsidP="00AE47CC">
      <w:pPr>
        <w:jc w:val="both"/>
        <w:rPr>
          <w:rFonts w:ascii="Times New Roman" w:hAnsi="Times New Roman"/>
          <w:sz w:val="24"/>
          <w:szCs w:val="24"/>
          <w:lang w:val="en-US"/>
        </w:rPr>
      </w:pPr>
      <w:bookmarkStart w:id="68" w:name="point67"/>
      <w:proofErr w:type="gramStart"/>
      <w:r w:rsidRPr="0088512D">
        <w:rPr>
          <w:rFonts w:ascii="Times New Roman" w:hAnsi="Times New Roman"/>
          <w:sz w:val="24"/>
          <w:szCs w:val="24"/>
          <w:lang w:val="en-US"/>
        </w:rPr>
        <w:t>67</w:t>
      </w:r>
      <w:bookmarkEnd w:id="68"/>
      <w:r w:rsidRPr="0088512D">
        <w:rPr>
          <w:rFonts w:ascii="Times New Roman" w:hAnsi="Times New Roman"/>
          <w:sz w:val="24"/>
          <w:szCs w:val="24"/>
          <w:lang w:val="en-US"/>
        </w:rPr>
        <w:t xml:space="preserve">      It is apparent from the contested decision that the Commission, which founded that decision on Article 13(2) of Regulation No 1/2003, further indicated that it was of the opinion, in any event, that the complaint could be rejected for lack of European Union interest by reason of the limited prospect of establishing an infringement, given the similar conclusion reached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at the end of its investigation.</w:t>
      </w:r>
      <w:proofErr w:type="gramEnd"/>
    </w:p>
    <w:p w:rsidR="00AE47CC" w:rsidRPr="0088512D" w:rsidRDefault="00AE47CC" w:rsidP="00AE47CC">
      <w:pPr>
        <w:jc w:val="both"/>
        <w:rPr>
          <w:rFonts w:ascii="Times New Roman" w:hAnsi="Times New Roman"/>
          <w:sz w:val="24"/>
          <w:szCs w:val="24"/>
          <w:lang w:val="en-US"/>
        </w:rPr>
      </w:pPr>
      <w:bookmarkStart w:id="69" w:name="point68"/>
      <w:proofErr w:type="gramStart"/>
      <w:r w:rsidRPr="0088512D">
        <w:rPr>
          <w:rFonts w:ascii="Times New Roman" w:hAnsi="Times New Roman"/>
          <w:sz w:val="24"/>
          <w:szCs w:val="24"/>
          <w:lang w:val="en-US"/>
        </w:rPr>
        <w:lastRenderedPageBreak/>
        <w:t>68</w:t>
      </w:r>
      <w:bookmarkEnd w:id="69"/>
      <w:r w:rsidRPr="0088512D">
        <w:rPr>
          <w:rFonts w:ascii="Times New Roman" w:hAnsi="Times New Roman"/>
          <w:sz w:val="24"/>
          <w:szCs w:val="24"/>
          <w:lang w:val="en-US"/>
        </w:rPr>
        <w:t xml:space="preserve">      As a preliminary point, it is important to note that, since it was merely on a subsidiary basis that the Commission rejected the applicant’s complaint for lack of European Union interest, the second plea in law, even if it were to be upheld, could not lead to annulment of the contested decision (see, to that effect, judgment of 27 February 1997 in </w:t>
      </w:r>
      <w:r w:rsidRPr="0088512D">
        <w:rPr>
          <w:rFonts w:ascii="Times New Roman" w:hAnsi="Times New Roman"/>
          <w:i/>
          <w:iCs/>
          <w:sz w:val="24"/>
          <w:szCs w:val="24"/>
          <w:lang w:val="en-US"/>
        </w:rPr>
        <w:t>FFSA and Others</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106/95, ECR, EU:T:1997:23, paragraph 199).</w:t>
      </w:r>
      <w:proofErr w:type="gramEnd"/>
    </w:p>
    <w:p w:rsidR="00AE47CC" w:rsidRPr="0088512D" w:rsidRDefault="00AE47CC" w:rsidP="00AE47CC">
      <w:pPr>
        <w:jc w:val="both"/>
        <w:rPr>
          <w:rFonts w:ascii="Times New Roman" w:hAnsi="Times New Roman"/>
          <w:sz w:val="24"/>
          <w:szCs w:val="24"/>
          <w:lang w:val="en-US"/>
        </w:rPr>
      </w:pPr>
      <w:bookmarkStart w:id="70" w:name="point69"/>
      <w:r w:rsidRPr="0088512D">
        <w:rPr>
          <w:rFonts w:ascii="Times New Roman" w:hAnsi="Times New Roman"/>
          <w:sz w:val="24"/>
          <w:szCs w:val="24"/>
          <w:lang w:val="en-US"/>
        </w:rPr>
        <w:t>69</w:t>
      </w:r>
      <w:bookmarkEnd w:id="70"/>
      <w:r w:rsidRPr="0088512D">
        <w:rPr>
          <w:rFonts w:ascii="Times New Roman" w:hAnsi="Times New Roman"/>
          <w:sz w:val="24"/>
          <w:szCs w:val="24"/>
          <w:lang w:val="en-US"/>
        </w:rPr>
        <w:t xml:space="preserve">      In any event, the contested decision does appear to </w:t>
      </w:r>
      <w:proofErr w:type="gramStart"/>
      <w:r w:rsidRPr="0088512D">
        <w:rPr>
          <w:rFonts w:ascii="Times New Roman" w:hAnsi="Times New Roman"/>
          <w:sz w:val="24"/>
          <w:szCs w:val="24"/>
          <w:lang w:val="en-US"/>
        </w:rPr>
        <w:t>be sufficiently reasoned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It should be recalled that, according to settled case-law, Article 7 of Regulation No 1/2003 does not give a complainant the right to insist that the Commission take a final decision as to the existence or non-existence of the alleged infringement and does not oblige the Commission to continue the proceedings, whatever the circumstances, right up to the stage of a final decision (judgments of 18 October 1979 in </w:t>
      </w:r>
      <w:r w:rsidRPr="0088512D">
        <w:rPr>
          <w:rFonts w:ascii="Times New Roman" w:hAnsi="Times New Roman"/>
          <w:i/>
          <w:iCs/>
          <w:sz w:val="24"/>
          <w:szCs w:val="24"/>
          <w:lang w:val="en-US"/>
        </w:rPr>
        <w:t>GEMA</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125/78, ECR, EU:C:1979:237, paragraph 18, and of 17 May 2001 in </w:t>
      </w:r>
      <w:r w:rsidRPr="0088512D">
        <w:rPr>
          <w:rFonts w:ascii="Times New Roman" w:hAnsi="Times New Roman"/>
          <w:i/>
          <w:iCs/>
          <w:sz w:val="24"/>
          <w:szCs w:val="24"/>
          <w:lang w:val="en-US"/>
        </w:rPr>
        <w:t>IECC</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449/98 P, EU:C:2001:275, paragraph 35).</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By contrast, the Commission is required to consider attentively all the matters of fact and of law which the complainant brings to its attention (judgments of 11 October 1983 in </w:t>
      </w:r>
      <w:r w:rsidRPr="0088512D">
        <w:rPr>
          <w:rFonts w:ascii="Times New Roman" w:hAnsi="Times New Roman"/>
          <w:i/>
          <w:iCs/>
          <w:sz w:val="24"/>
          <w:szCs w:val="24"/>
          <w:lang w:val="en-US"/>
        </w:rPr>
        <w:t>Schmidt</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210/81, ECR, EU:C:1983:277, paragraph 19, and of 17 November 1987 in </w:t>
      </w:r>
      <w:r w:rsidRPr="0088512D">
        <w:rPr>
          <w:rFonts w:ascii="Times New Roman" w:hAnsi="Times New Roman"/>
          <w:i/>
          <w:iCs/>
          <w:sz w:val="24"/>
          <w:szCs w:val="24"/>
          <w:lang w:val="en-US"/>
        </w:rPr>
        <w:t>British American Tobacco and Reynolds Industries</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142/84 and 156/84, ECR, EU:C:1987:490, paragraph 20).</w:t>
      </w:r>
      <w:proofErr w:type="gramEnd"/>
      <w:r w:rsidRPr="0088512D">
        <w:rPr>
          <w:rFonts w:ascii="Times New Roman" w:hAnsi="Times New Roman"/>
          <w:sz w:val="24"/>
          <w:szCs w:val="24"/>
          <w:lang w:val="en-US"/>
        </w:rPr>
        <w:t xml:space="preserve"> Complainants are entitled to have the fate of their complaint settled by a decision of the Commission against which an action may be brought (judgment of 18 March 1997 in </w:t>
      </w:r>
      <w:proofErr w:type="spellStart"/>
      <w:r w:rsidRPr="0088512D">
        <w:rPr>
          <w:rFonts w:ascii="Times New Roman" w:hAnsi="Times New Roman"/>
          <w:i/>
          <w:iCs/>
          <w:sz w:val="24"/>
          <w:szCs w:val="24"/>
          <w:lang w:val="en-US"/>
        </w:rPr>
        <w:t>Guérin</w:t>
      </w:r>
      <w:proofErr w:type="spellEnd"/>
      <w:r w:rsidRPr="0088512D">
        <w:rPr>
          <w:rFonts w:ascii="Times New Roman" w:hAnsi="Times New Roman"/>
          <w:i/>
          <w:iCs/>
          <w:sz w:val="24"/>
          <w:szCs w:val="24"/>
          <w:lang w:val="en-US"/>
        </w:rPr>
        <w:t xml:space="preserve"> automobiles</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 xml:space="preserve">282/95 P, ECR, EU:C:1997:159, paragraph 36, and </w:t>
      </w:r>
      <w:r w:rsidRPr="0088512D">
        <w:rPr>
          <w:rFonts w:ascii="Times New Roman" w:hAnsi="Times New Roman"/>
          <w:i/>
          <w:iCs/>
          <w:sz w:val="24"/>
          <w:szCs w:val="24"/>
          <w:lang w:val="en-US"/>
        </w:rPr>
        <w:t>IECC</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EU:C:2001:275, paragraph 35).</w:t>
      </w:r>
    </w:p>
    <w:p w:rsidR="00AE47CC" w:rsidRPr="0088512D" w:rsidRDefault="00AE47CC" w:rsidP="00AE47CC">
      <w:pPr>
        <w:jc w:val="both"/>
        <w:rPr>
          <w:rFonts w:ascii="Times New Roman" w:hAnsi="Times New Roman"/>
          <w:sz w:val="24"/>
          <w:szCs w:val="24"/>
          <w:lang w:val="en-US"/>
        </w:rPr>
      </w:pPr>
      <w:bookmarkStart w:id="71" w:name="point70"/>
      <w:proofErr w:type="gramStart"/>
      <w:r w:rsidRPr="0088512D">
        <w:rPr>
          <w:rFonts w:ascii="Times New Roman" w:hAnsi="Times New Roman"/>
          <w:sz w:val="24"/>
          <w:szCs w:val="24"/>
          <w:lang w:val="en-US"/>
        </w:rPr>
        <w:t>70</w:t>
      </w:r>
      <w:bookmarkEnd w:id="71"/>
      <w:proofErr w:type="gramEnd"/>
      <w:r w:rsidRPr="0088512D">
        <w:rPr>
          <w:rFonts w:ascii="Times New Roman" w:hAnsi="Times New Roman"/>
          <w:sz w:val="24"/>
          <w:szCs w:val="24"/>
          <w:lang w:val="en-US"/>
        </w:rPr>
        <w:t xml:space="preserve">      In that regard, the Commission is under an obligation to state reasons if it declines to continue with the examination of a complaint. </w:t>
      </w:r>
      <w:proofErr w:type="gramStart"/>
      <w:r w:rsidRPr="0088512D">
        <w:rPr>
          <w:rFonts w:ascii="Times New Roman" w:hAnsi="Times New Roman"/>
          <w:sz w:val="24"/>
          <w:szCs w:val="24"/>
          <w:lang w:val="en-US"/>
        </w:rPr>
        <w:t xml:space="preserve">Since the reasons stated must be sufficiently precise and detailed to enable the General Court to review effectively the Commission’s use of its discretion to define priorities, the Commission must set out the facts justifying the decision and the legal considerations on the basis of which it was adopted (order of 31 March 2011 in </w:t>
      </w:r>
      <w:r w:rsidRPr="0088512D">
        <w:rPr>
          <w:rFonts w:ascii="Times New Roman" w:hAnsi="Times New Roman"/>
          <w:i/>
          <w:iCs/>
          <w:sz w:val="24"/>
          <w:szCs w:val="24"/>
          <w:lang w:val="en-US"/>
        </w:rPr>
        <w:t>EMC Development</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367/10 P, EU:C:2011:203, paragraph 75).</w:t>
      </w:r>
      <w:proofErr w:type="gramEnd"/>
    </w:p>
    <w:p w:rsidR="00AE47CC" w:rsidRPr="0088512D" w:rsidRDefault="00AE47CC" w:rsidP="00AE47CC">
      <w:pPr>
        <w:jc w:val="both"/>
        <w:rPr>
          <w:rFonts w:ascii="Times New Roman" w:hAnsi="Times New Roman"/>
          <w:sz w:val="24"/>
          <w:szCs w:val="24"/>
          <w:lang w:val="en-US"/>
        </w:rPr>
      </w:pPr>
      <w:bookmarkStart w:id="72" w:name="point71"/>
      <w:r w:rsidRPr="0088512D">
        <w:rPr>
          <w:rFonts w:ascii="Times New Roman" w:hAnsi="Times New Roman"/>
          <w:sz w:val="24"/>
          <w:szCs w:val="24"/>
          <w:lang w:val="en-US"/>
        </w:rPr>
        <w:t>71</w:t>
      </w:r>
      <w:bookmarkEnd w:id="72"/>
      <w:r w:rsidRPr="0088512D">
        <w:rPr>
          <w:rFonts w:ascii="Times New Roman" w:hAnsi="Times New Roman"/>
          <w:sz w:val="24"/>
          <w:szCs w:val="24"/>
          <w:lang w:val="en-US"/>
        </w:rPr>
        <w:t xml:space="preserve">      In the present case, it is apparent from the contested decision that the Commission found that the likelihood of establishing an infringement of Article 102 TFEU was limited, given the conclusions reached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It should, however, be recalled that, under Articles 4 and 5 of Regulation No 1/2003, the Commission and the competition authorities of the Member States have parallel powers to apply Articles 101 TFEU and 102 TFEU, and that the scheme of that regulation is based on close cooperation between them. Accordingly, in its assessment, the Commission may also take account of the steps taken by those national authorities (judgment in </w:t>
      </w:r>
      <w:r w:rsidRPr="0088512D">
        <w:rPr>
          <w:rFonts w:ascii="Times New Roman" w:hAnsi="Times New Roman"/>
          <w:i/>
          <w:iCs/>
          <w:sz w:val="24"/>
          <w:szCs w:val="24"/>
          <w:lang w:val="en-US"/>
        </w:rPr>
        <w:t>Vivendi</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paragraph 17 above, EU</w:t>
      </w:r>
      <w:proofErr w:type="gramStart"/>
      <w:r w:rsidRPr="0088512D">
        <w:rPr>
          <w:rFonts w:ascii="Times New Roman" w:hAnsi="Times New Roman"/>
          <w:sz w:val="24"/>
          <w:szCs w:val="24"/>
          <w:lang w:val="en-US"/>
        </w:rPr>
        <w:t>:T:2013:538</w:t>
      </w:r>
      <w:proofErr w:type="gramEnd"/>
      <w:r w:rsidRPr="0088512D">
        <w:rPr>
          <w:rFonts w:ascii="Times New Roman" w:hAnsi="Times New Roman"/>
          <w:sz w:val="24"/>
          <w:szCs w:val="24"/>
          <w:lang w:val="en-US"/>
        </w:rPr>
        <w:t>, paragraph 26).</w:t>
      </w:r>
    </w:p>
    <w:p w:rsidR="00AE47CC" w:rsidRPr="0088512D" w:rsidRDefault="00AE47CC" w:rsidP="00AE47CC">
      <w:pPr>
        <w:jc w:val="both"/>
        <w:rPr>
          <w:rFonts w:ascii="Times New Roman" w:hAnsi="Times New Roman"/>
          <w:sz w:val="24"/>
          <w:szCs w:val="24"/>
          <w:lang w:val="en-US"/>
        </w:rPr>
      </w:pPr>
      <w:bookmarkStart w:id="73" w:name="point72"/>
      <w:r w:rsidRPr="0088512D">
        <w:rPr>
          <w:rFonts w:ascii="Times New Roman" w:hAnsi="Times New Roman"/>
          <w:sz w:val="24"/>
          <w:szCs w:val="24"/>
          <w:lang w:val="en-US"/>
        </w:rPr>
        <w:t>72</w:t>
      </w:r>
      <w:bookmarkEnd w:id="73"/>
      <w:r w:rsidRPr="0088512D">
        <w:rPr>
          <w:rFonts w:ascii="Times New Roman" w:hAnsi="Times New Roman"/>
          <w:sz w:val="24"/>
          <w:szCs w:val="24"/>
          <w:lang w:val="en-US"/>
        </w:rPr>
        <w:t xml:space="preserve">      It follows from the foregoing that the Commission fulfilled its obligation to state reasons by setting out, clearly and unequivocally, the factual and legal </w:t>
      </w:r>
      <w:proofErr w:type="gramStart"/>
      <w:r w:rsidRPr="0088512D">
        <w:rPr>
          <w:rFonts w:ascii="Times New Roman" w:hAnsi="Times New Roman"/>
          <w:sz w:val="24"/>
          <w:szCs w:val="24"/>
          <w:lang w:val="en-US"/>
        </w:rPr>
        <w:t>considerations which</w:t>
      </w:r>
      <w:proofErr w:type="gramEnd"/>
      <w:r w:rsidRPr="0088512D">
        <w:rPr>
          <w:rFonts w:ascii="Times New Roman" w:hAnsi="Times New Roman"/>
          <w:sz w:val="24"/>
          <w:szCs w:val="24"/>
          <w:lang w:val="en-US"/>
        </w:rPr>
        <w:t xml:space="preserve"> led it to conclude that the likelihood of establishing the existence of an infringement of Article 102 TFEU was no more than very limited. Since those details enable the Court to review effectively the Commission’s exercise of its discretion in the contested decision, it </w:t>
      </w:r>
      <w:proofErr w:type="gramStart"/>
      <w:r w:rsidRPr="0088512D">
        <w:rPr>
          <w:rFonts w:ascii="Times New Roman" w:hAnsi="Times New Roman"/>
          <w:sz w:val="24"/>
          <w:szCs w:val="24"/>
          <w:lang w:val="en-US"/>
        </w:rPr>
        <w:t>must be concluded</w:t>
      </w:r>
      <w:proofErr w:type="gramEnd"/>
      <w:r w:rsidRPr="0088512D">
        <w:rPr>
          <w:rFonts w:ascii="Times New Roman" w:hAnsi="Times New Roman"/>
          <w:sz w:val="24"/>
          <w:szCs w:val="24"/>
          <w:lang w:val="en-US"/>
        </w:rPr>
        <w:t xml:space="preserve"> that the contested decision is sufficiently reasoned in that regard.</w:t>
      </w:r>
    </w:p>
    <w:p w:rsidR="00AE47CC" w:rsidRPr="0088512D" w:rsidRDefault="00AE47CC" w:rsidP="00AE47CC">
      <w:pPr>
        <w:jc w:val="both"/>
        <w:rPr>
          <w:rFonts w:ascii="Times New Roman" w:hAnsi="Times New Roman"/>
          <w:sz w:val="24"/>
          <w:szCs w:val="24"/>
          <w:lang w:val="en-US"/>
        </w:rPr>
      </w:pPr>
      <w:bookmarkStart w:id="74" w:name="point73"/>
      <w:r w:rsidRPr="0088512D">
        <w:rPr>
          <w:rFonts w:ascii="Times New Roman" w:hAnsi="Times New Roman"/>
          <w:sz w:val="24"/>
          <w:szCs w:val="24"/>
          <w:lang w:val="en-US"/>
        </w:rPr>
        <w:t>73</w:t>
      </w:r>
      <w:bookmarkEnd w:id="74"/>
      <w:r w:rsidRPr="0088512D">
        <w:rPr>
          <w:rFonts w:ascii="Times New Roman" w:hAnsi="Times New Roman"/>
          <w:sz w:val="24"/>
          <w:szCs w:val="24"/>
          <w:lang w:val="en-US"/>
        </w:rPr>
        <w:t>      The second plea in law can therefore be rejected as being unfounded and, consequently, the action must be dismissed in its entirety.</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Costs</w:t>
      </w:r>
    </w:p>
    <w:p w:rsidR="00AE47CC" w:rsidRPr="0088512D" w:rsidRDefault="00AE47CC" w:rsidP="00AE47CC">
      <w:pPr>
        <w:jc w:val="both"/>
        <w:rPr>
          <w:rFonts w:ascii="Times New Roman" w:hAnsi="Times New Roman"/>
          <w:sz w:val="24"/>
          <w:szCs w:val="24"/>
          <w:lang w:val="en-US"/>
        </w:rPr>
      </w:pPr>
      <w:bookmarkStart w:id="75" w:name="point74"/>
      <w:proofErr w:type="gramStart"/>
      <w:r w:rsidRPr="0088512D">
        <w:rPr>
          <w:rFonts w:ascii="Times New Roman" w:hAnsi="Times New Roman"/>
          <w:sz w:val="24"/>
          <w:szCs w:val="24"/>
          <w:lang w:val="en-US"/>
        </w:rPr>
        <w:lastRenderedPageBreak/>
        <w:t>74</w:t>
      </w:r>
      <w:bookmarkEnd w:id="75"/>
      <w:proofErr w:type="gramEnd"/>
      <w:r w:rsidRPr="0088512D">
        <w:rPr>
          <w:rFonts w:ascii="Times New Roman" w:hAnsi="Times New Roman"/>
          <w:sz w:val="24"/>
          <w:szCs w:val="24"/>
          <w:lang w:val="en-US"/>
        </w:rPr>
        <w:t xml:space="preserve">      Under Article 87(2) of the Rules of Procedure, the unsuccessful party is to be ordered to pay the costs if they have been applied for in the successful party’s pleadings. Since the applicant has been unsuccessful, it </w:t>
      </w:r>
      <w:proofErr w:type="gramStart"/>
      <w:r w:rsidRPr="0088512D">
        <w:rPr>
          <w:rFonts w:ascii="Times New Roman" w:hAnsi="Times New Roman"/>
          <w:sz w:val="24"/>
          <w:szCs w:val="24"/>
          <w:lang w:val="en-US"/>
        </w:rPr>
        <w:t>must be ordered</w:t>
      </w:r>
      <w:proofErr w:type="gramEnd"/>
      <w:r w:rsidRPr="0088512D">
        <w:rPr>
          <w:rFonts w:ascii="Times New Roman" w:hAnsi="Times New Roman"/>
          <w:sz w:val="24"/>
          <w:szCs w:val="24"/>
          <w:lang w:val="en-US"/>
        </w:rPr>
        <w:t xml:space="preserve"> to pay the Commission’s costs and those of Schiphol, in accordance with the forms of order sought by those parties. </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On those grounds,</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THE GENERAL COURT (Second Chamber)</w:t>
      </w:r>
    </w:p>
    <w:p w:rsidR="00AE47CC" w:rsidRPr="0088512D" w:rsidRDefault="00AE47CC" w:rsidP="00AE47CC">
      <w:pPr>
        <w:jc w:val="both"/>
        <w:rPr>
          <w:rFonts w:ascii="Times New Roman" w:hAnsi="Times New Roman"/>
          <w:sz w:val="24"/>
          <w:szCs w:val="24"/>
          <w:lang w:val="en-US"/>
        </w:rPr>
      </w:pPr>
      <w:proofErr w:type="gramStart"/>
      <w:r w:rsidRPr="0088512D">
        <w:rPr>
          <w:rFonts w:ascii="Times New Roman" w:hAnsi="Times New Roman"/>
          <w:sz w:val="24"/>
          <w:szCs w:val="24"/>
          <w:lang w:val="en-US"/>
        </w:rPr>
        <w:t>hereby</w:t>
      </w:r>
      <w:proofErr w:type="gramEnd"/>
      <w:r w:rsidRPr="0088512D">
        <w:rPr>
          <w:rFonts w:ascii="Times New Roman" w:hAnsi="Times New Roman"/>
          <w:sz w:val="24"/>
          <w:szCs w:val="24"/>
          <w:lang w:val="en-US"/>
        </w:rPr>
        <w:t>:</w:t>
      </w:r>
    </w:p>
    <w:p w:rsidR="00AE47CC" w:rsidRPr="0088512D" w:rsidRDefault="00AE47CC" w:rsidP="00AE47CC">
      <w:pPr>
        <w:jc w:val="both"/>
        <w:rPr>
          <w:rFonts w:ascii="Times New Roman" w:hAnsi="Times New Roman"/>
          <w:sz w:val="24"/>
          <w:szCs w:val="24"/>
          <w:lang w:val="en-US"/>
        </w:rPr>
      </w:pPr>
      <w:r w:rsidRPr="0088512D">
        <w:rPr>
          <w:rFonts w:ascii="Times New Roman" w:hAnsi="Times New Roman"/>
          <w:sz w:val="24"/>
          <w:szCs w:val="24"/>
          <w:lang w:val="en-US"/>
        </w:rPr>
        <w:t>1.      </w:t>
      </w:r>
      <w:proofErr w:type="gramStart"/>
      <w:r w:rsidRPr="0088512D">
        <w:rPr>
          <w:rFonts w:ascii="Times New Roman" w:hAnsi="Times New Roman"/>
          <w:b/>
          <w:bCs/>
          <w:sz w:val="24"/>
          <w:szCs w:val="24"/>
          <w:lang w:val="en-US"/>
        </w:rPr>
        <w:t>Dismisses</w:t>
      </w:r>
      <w:proofErr w:type="gramEnd"/>
      <w:r w:rsidRPr="0088512D">
        <w:rPr>
          <w:rFonts w:ascii="Times New Roman" w:hAnsi="Times New Roman"/>
          <w:b/>
          <w:bCs/>
          <w:sz w:val="24"/>
          <w:szCs w:val="24"/>
          <w:lang w:val="en-US"/>
        </w:rPr>
        <w:t xml:space="preserve"> the action;</w:t>
      </w:r>
    </w:p>
    <w:p w:rsidR="00AE47CC" w:rsidRDefault="00AE47CC" w:rsidP="00AE47CC">
      <w:pPr>
        <w:jc w:val="both"/>
        <w:rPr>
          <w:rFonts w:ascii="Times New Roman" w:hAnsi="Times New Roman"/>
          <w:b/>
          <w:bCs/>
          <w:sz w:val="24"/>
          <w:szCs w:val="24"/>
          <w:lang w:val="en-US"/>
        </w:rPr>
      </w:pPr>
      <w:r w:rsidRPr="0088512D">
        <w:rPr>
          <w:rFonts w:ascii="Times New Roman" w:hAnsi="Times New Roman"/>
          <w:sz w:val="24"/>
          <w:szCs w:val="24"/>
          <w:lang w:val="en-US"/>
        </w:rPr>
        <w:t>2.      </w:t>
      </w:r>
      <w:r w:rsidRPr="0088512D">
        <w:rPr>
          <w:rFonts w:ascii="Times New Roman" w:hAnsi="Times New Roman"/>
          <w:b/>
          <w:bCs/>
          <w:sz w:val="24"/>
          <w:szCs w:val="24"/>
          <w:lang w:val="en-US"/>
        </w:rPr>
        <w:t xml:space="preserve">Orders </w:t>
      </w:r>
      <w:proofErr w:type="spellStart"/>
      <w:r w:rsidRPr="0088512D">
        <w:rPr>
          <w:rFonts w:ascii="Times New Roman" w:hAnsi="Times New Roman"/>
          <w:b/>
          <w:bCs/>
          <w:sz w:val="24"/>
          <w:szCs w:val="24"/>
          <w:lang w:val="en-US"/>
        </w:rPr>
        <w:t>easyJet</w:t>
      </w:r>
      <w:proofErr w:type="spellEnd"/>
      <w:r w:rsidRPr="0088512D">
        <w:rPr>
          <w:rFonts w:ascii="Times New Roman" w:hAnsi="Times New Roman"/>
          <w:b/>
          <w:bCs/>
          <w:sz w:val="24"/>
          <w:szCs w:val="24"/>
          <w:lang w:val="en-US"/>
        </w:rPr>
        <w:t xml:space="preserve"> Airline Co. Ltd to pay the costs.</w:t>
      </w:r>
    </w:p>
    <w:p w:rsidR="00C9365D" w:rsidRDefault="00C9365D" w:rsidP="00C9365D">
      <w:pPr>
        <w:rPr>
          <w:rFonts w:ascii="Times New Roman" w:hAnsi="Times New Roman"/>
          <w:b/>
          <w:bCs/>
          <w:sz w:val="24"/>
          <w:szCs w:val="24"/>
          <w:lang w:val="en-US"/>
        </w:rPr>
      </w:pPr>
    </w:p>
    <w:p w:rsidR="00C9365D" w:rsidRDefault="00C9365D" w:rsidP="00C9365D">
      <w:pPr>
        <w:rPr>
          <w:rFonts w:ascii="Times New Roman" w:hAnsi="Times New Roman"/>
          <w:b/>
          <w:bCs/>
          <w:sz w:val="24"/>
          <w:szCs w:val="24"/>
          <w:lang w:val="en-US"/>
        </w:rPr>
      </w:pPr>
    </w:p>
    <w:p w:rsidR="00C9365D" w:rsidRDefault="00C9365D" w:rsidP="00C9365D">
      <w:pPr>
        <w:rPr>
          <w:rFonts w:ascii="Times New Roman" w:hAnsi="Times New Roman"/>
          <w:b/>
          <w:bCs/>
          <w:sz w:val="24"/>
          <w:szCs w:val="24"/>
          <w:lang w:val="en-US"/>
        </w:rPr>
      </w:pPr>
    </w:p>
    <w:p w:rsidR="00C9365D" w:rsidRDefault="00C9365D" w:rsidP="00C9365D">
      <w:pPr>
        <w:rPr>
          <w:rFonts w:ascii="Times New Roman" w:hAnsi="Times New Roman"/>
          <w:b/>
          <w:bCs/>
          <w:sz w:val="24"/>
          <w:szCs w:val="24"/>
          <w:lang w:val="en-US"/>
        </w:rPr>
      </w:pPr>
    </w:p>
    <w:p w:rsidR="00C9365D" w:rsidRDefault="00C9365D" w:rsidP="00C9365D">
      <w:pPr>
        <w:rPr>
          <w:rFonts w:ascii="Times New Roman" w:hAnsi="Times New Roman"/>
          <w:b/>
          <w:bCs/>
          <w:sz w:val="24"/>
          <w:szCs w:val="24"/>
          <w:lang w:val="en-US"/>
        </w:rPr>
      </w:pPr>
    </w:p>
    <w:p w:rsidR="00C9365D" w:rsidRDefault="00C9365D" w:rsidP="00C9365D">
      <w:pPr>
        <w:rPr>
          <w:rFonts w:ascii="Times New Roman" w:hAnsi="Times New Roman"/>
          <w:b/>
          <w:bCs/>
          <w:sz w:val="24"/>
          <w:szCs w:val="24"/>
          <w:lang w:val="en-US"/>
        </w:rPr>
      </w:pPr>
    </w:p>
    <w:p w:rsidR="00C9365D" w:rsidRDefault="00C9365D" w:rsidP="00C9365D">
      <w:pPr>
        <w:rPr>
          <w:rFonts w:ascii="Times New Roman" w:hAnsi="Times New Roman"/>
          <w:b/>
          <w:bCs/>
          <w:sz w:val="24"/>
          <w:szCs w:val="24"/>
          <w:lang w:val="en-US"/>
        </w:rPr>
      </w:pPr>
    </w:p>
    <w:p w:rsidR="00C9365D" w:rsidRPr="00C9365D" w:rsidRDefault="00C9365D" w:rsidP="00C9365D">
      <w:pPr>
        <w:rPr>
          <w:b/>
          <w:sz w:val="28"/>
          <w:szCs w:val="28"/>
          <w:lang w:val="en-US"/>
        </w:rPr>
      </w:pPr>
      <w:r w:rsidRPr="00C9365D">
        <w:rPr>
          <w:b/>
          <w:sz w:val="28"/>
          <w:szCs w:val="28"/>
          <w:lang w:val="en-US"/>
        </w:rPr>
        <w:t xml:space="preserve">Doc. 2 Case </w:t>
      </w:r>
      <w:r w:rsidRPr="00C9365D">
        <w:rPr>
          <w:b/>
          <w:bCs/>
          <w:sz w:val="28"/>
          <w:szCs w:val="28"/>
          <w:lang w:val="en-US"/>
        </w:rPr>
        <w:t xml:space="preserve">DB Station &amp; Service AG, C 721/20, 27 </w:t>
      </w:r>
      <w:proofErr w:type="spellStart"/>
      <w:proofErr w:type="gramStart"/>
      <w:r w:rsidRPr="00C9365D">
        <w:rPr>
          <w:b/>
          <w:bCs/>
          <w:sz w:val="28"/>
          <w:szCs w:val="28"/>
          <w:lang w:val="en-US"/>
        </w:rPr>
        <w:t>october</w:t>
      </w:r>
      <w:proofErr w:type="spellEnd"/>
      <w:proofErr w:type="gramEnd"/>
      <w:r w:rsidRPr="00C9365D">
        <w:rPr>
          <w:b/>
          <w:bCs/>
          <w:sz w:val="28"/>
          <w:szCs w:val="28"/>
          <w:lang w:val="en-US"/>
        </w:rPr>
        <w:t xml:space="preserve"> 2022</w:t>
      </w:r>
    </w:p>
    <w:p w:rsidR="00C9365D" w:rsidRDefault="00C9365D" w:rsidP="00AE47CC">
      <w:pPr>
        <w:jc w:val="both"/>
        <w:rPr>
          <w:rFonts w:ascii="Times New Roman" w:hAnsi="Times New Roman"/>
          <w:b/>
          <w:bCs/>
          <w:sz w:val="24"/>
          <w:szCs w:val="24"/>
          <w:lang w:val="en-US"/>
        </w:rPr>
      </w:pPr>
    </w:p>
    <w:p w:rsidR="00C9365D" w:rsidRPr="0088512D" w:rsidRDefault="00C9365D" w:rsidP="00AE47CC">
      <w:pPr>
        <w:jc w:val="both"/>
        <w:rPr>
          <w:rFonts w:ascii="Times New Roman" w:hAnsi="Times New Roman"/>
          <w:sz w:val="24"/>
          <w:szCs w:val="24"/>
          <w:lang w:val="en-US"/>
        </w:rPr>
      </w:pPr>
    </w:p>
    <w:p w:rsidR="00C9365D" w:rsidRPr="00C9365D" w:rsidRDefault="00C9365D" w:rsidP="00C9365D">
      <w:pPr>
        <w:spacing w:after="240" w:line="240" w:lineRule="auto"/>
        <w:ind w:left="567"/>
        <w:jc w:val="center"/>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JUDGMENT OF THE COURT (Fourth Chamber)</w:t>
      </w:r>
    </w:p>
    <w:p w:rsidR="00C9365D" w:rsidRPr="00C9365D" w:rsidRDefault="00C9365D" w:rsidP="00C9365D">
      <w:pPr>
        <w:spacing w:after="240" w:line="240" w:lineRule="auto"/>
        <w:ind w:left="567"/>
        <w:jc w:val="center"/>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27 October 2022 (</w:t>
      </w:r>
      <w:hyperlink r:id="rId12" w:anchor="Footnote*" w:history="1">
        <w:r w:rsidRPr="00C9365D">
          <w:rPr>
            <w:rFonts w:ascii="Arial" w:eastAsia="Times New Roman" w:hAnsi="Arial" w:cs="Arial"/>
            <w:color w:val="006699"/>
            <w:sz w:val="18"/>
            <w:szCs w:val="18"/>
            <w:u w:val="single"/>
            <w:lang w:val="en-US" w:eastAsia="fr-FR"/>
          </w:rPr>
          <w:t>*</w:t>
        </w:r>
      </w:hyperlink>
      <w:r w:rsidRPr="00C9365D">
        <w:rPr>
          <w:rFonts w:ascii="Arial" w:eastAsia="Times New Roman" w:hAnsi="Arial" w:cs="Arial"/>
          <w:color w:val="000000"/>
          <w:sz w:val="18"/>
          <w:szCs w:val="18"/>
          <w:lang w:val="en-US" w:eastAsia="fr-FR"/>
        </w:rPr>
        <w:t>)</w:t>
      </w:r>
    </w:p>
    <w:p w:rsidR="00C9365D" w:rsidRPr="00C9365D" w:rsidRDefault="00C9365D" w:rsidP="00C9365D">
      <w:pPr>
        <w:spacing w:before="600" w:after="560" w:line="240" w:lineRule="auto"/>
        <w:ind w:left="567"/>
        <w:jc w:val="center"/>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(Reference for a preliminary ruling – Rail transport – Article 102 TFEU – Abuse of a dominant position – Directive 2001/14/EC – Access to railway infrastructure – Article 30 – Railway regulatory body – Review of infrastructure charges – National courts – Review of charges in the light of competition law – Division of competence between the regulatory authority and the national courts)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In Case C</w:t>
      </w:r>
      <w:r w:rsidRPr="00C9365D">
        <w:rPr>
          <w:rFonts w:ascii="Arial" w:eastAsia="Times New Roman" w:hAnsi="Arial" w:cs="Arial"/>
          <w:color w:val="000000"/>
          <w:sz w:val="18"/>
          <w:szCs w:val="18"/>
          <w:lang w:val="en-US" w:eastAsia="fr-FR"/>
        </w:rPr>
        <w:noBreakHyphen/>
        <w:t>721/20,</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REQUEST for a preliminary ruling under Article 267 TFEU from the </w:t>
      </w:r>
      <w:proofErr w:type="spellStart"/>
      <w:r w:rsidRPr="00C9365D">
        <w:rPr>
          <w:rFonts w:ascii="Arial" w:eastAsia="Times New Roman" w:hAnsi="Arial" w:cs="Arial"/>
          <w:color w:val="000000"/>
          <w:sz w:val="18"/>
          <w:szCs w:val="18"/>
          <w:lang w:val="en-US" w:eastAsia="fr-FR"/>
        </w:rPr>
        <w:t>Kammergericht</w:t>
      </w:r>
      <w:proofErr w:type="spellEnd"/>
      <w:r w:rsidRPr="00C9365D">
        <w:rPr>
          <w:rFonts w:ascii="Arial" w:eastAsia="Times New Roman" w:hAnsi="Arial" w:cs="Arial"/>
          <w:color w:val="000000"/>
          <w:sz w:val="18"/>
          <w:szCs w:val="18"/>
          <w:lang w:val="en-US" w:eastAsia="fr-FR"/>
        </w:rPr>
        <w:t xml:space="preserve"> (Higher Regional Court, Berlin, Germany), made by decision of 10 December 2020, </w:t>
      </w:r>
      <w:proofErr w:type="gramStart"/>
      <w:r w:rsidRPr="00C9365D">
        <w:rPr>
          <w:rFonts w:ascii="Arial" w:eastAsia="Times New Roman" w:hAnsi="Arial" w:cs="Arial"/>
          <w:color w:val="000000"/>
          <w:sz w:val="18"/>
          <w:szCs w:val="18"/>
          <w:lang w:val="en-US" w:eastAsia="fr-FR"/>
        </w:rPr>
        <w:t>received</w:t>
      </w:r>
      <w:proofErr w:type="gramEnd"/>
      <w:r w:rsidRPr="00C9365D">
        <w:rPr>
          <w:rFonts w:ascii="Arial" w:eastAsia="Times New Roman" w:hAnsi="Arial" w:cs="Arial"/>
          <w:color w:val="000000"/>
          <w:sz w:val="18"/>
          <w:szCs w:val="18"/>
          <w:lang w:val="en-US" w:eastAsia="fr-FR"/>
        </w:rPr>
        <w:t xml:space="preserve"> at the Court on 30 December 2020, in the proceedings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b/>
          <w:bCs/>
          <w:color w:val="000000"/>
          <w:sz w:val="18"/>
          <w:szCs w:val="18"/>
          <w:lang w:val="en-US" w:eastAsia="fr-FR"/>
        </w:rPr>
        <w:t>DB Station &amp; Service AG</w:t>
      </w:r>
    </w:p>
    <w:p w:rsidR="00C9365D" w:rsidRPr="00C9365D" w:rsidRDefault="00C9365D" w:rsidP="00C9365D">
      <w:pPr>
        <w:spacing w:after="240" w:line="240" w:lineRule="auto"/>
        <w:ind w:left="567"/>
        <w:jc w:val="center"/>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v</w:t>
      </w:r>
      <w:proofErr w:type="gramEnd"/>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b/>
          <w:bCs/>
          <w:color w:val="000000"/>
          <w:sz w:val="18"/>
          <w:szCs w:val="18"/>
          <w:lang w:val="en-US" w:eastAsia="fr-FR"/>
        </w:rPr>
        <w:t xml:space="preserve">ODEG </w:t>
      </w:r>
      <w:proofErr w:type="spellStart"/>
      <w:r w:rsidRPr="00C9365D">
        <w:rPr>
          <w:rFonts w:ascii="Arial" w:eastAsia="Times New Roman" w:hAnsi="Arial" w:cs="Arial"/>
          <w:b/>
          <w:bCs/>
          <w:color w:val="000000"/>
          <w:sz w:val="18"/>
          <w:szCs w:val="18"/>
          <w:lang w:val="en-US" w:eastAsia="fr-FR"/>
        </w:rPr>
        <w:t>Ostdeutsche</w:t>
      </w:r>
      <w:proofErr w:type="spellEnd"/>
      <w:r w:rsidRPr="00C9365D">
        <w:rPr>
          <w:rFonts w:ascii="Arial" w:eastAsia="Times New Roman" w:hAnsi="Arial" w:cs="Arial"/>
          <w:b/>
          <w:bCs/>
          <w:color w:val="000000"/>
          <w:sz w:val="18"/>
          <w:szCs w:val="18"/>
          <w:lang w:val="en-US" w:eastAsia="fr-FR"/>
        </w:rPr>
        <w:t xml:space="preserve"> </w:t>
      </w:r>
      <w:proofErr w:type="spellStart"/>
      <w:r w:rsidRPr="00C9365D">
        <w:rPr>
          <w:rFonts w:ascii="Arial" w:eastAsia="Times New Roman" w:hAnsi="Arial" w:cs="Arial"/>
          <w:b/>
          <w:bCs/>
          <w:color w:val="000000"/>
          <w:sz w:val="18"/>
          <w:szCs w:val="18"/>
          <w:lang w:val="en-US" w:eastAsia="fr-FR"/>
        </w:rPr>
        <w:t>Eisenbahn</w:t>
      </w:r>
      <w:proofErr w:type="spellEnd"/>
      <w:r w:rsidRPr="00C9365D">
        <w:rPr>
          <w:rFonts w:ascii="Arial" w:eastAsia="Times New Roman" w:hAnsi="Arial" w:cs="Arial"/>
          <w:b/>
          <w:bCs/>
          <w:color w:val="000000"/>
          <w:sz w:val="18"/>
          <w:szCs w:val="18"/>
          <w:lang w:val="en-US" w:eastAsia="fr-FR"/>
        </w:rPr>
        <w:t xml:space="preserve"> GmbH,</w:t>
      </w:r>
    </w:p>
    <w:p w:rsidR="00C9365D" w:rsidRPr="00C9365D" w:rsidRDefault="00C9365D" w:rsidP="00C9365D">
      <w:pPr>
        <w:spacing w:after="240" w:line="240" w:lineRule="auto"/>
        <w:ind w:left="567"/>
        <w:jc w:val="center"/>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THE COURT (Fourth Chamber),</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lastRenderedPageBreak/>
        <w:t>composed</w:t>
      </w:r>
      <w:proofErr w:type="gramEnd"/>
      <w:r w:rsidRPr="00C9365D">
        <w:rPr>
          <w:rFonts w:ascii="Arial" w:eastAsia="Times New Roman" w:hAnsi="Arial" w:cs="Arial"/>
          <w:color w:val="000000"/>
          <w:sz w:val="18"/>
          <w:szCs w:val="18"/>
          <w:lang w:val="en-US" w:eastAsia="fr-FR"/>
        </w:rPr>
        <w:t xml:space="preserve"> of C. </w:t>
      </w:r>
      <w:proofErr w:type="spellStart"/>
      <w:r w:rsidRPr="00C9365D">
        <w:rPr>
          <w:rFonts w:ascii="Arial" w:eastAsia="Times New Roman" w:hAnsi="Arial" w:cs="Arial"/>
          <w:color w:val="000000"/>
          <w:sz w:val="18"/>
          <w:szCs w:val="18"/>
          <w:lang w:val="en-US" w:eastAsia="fr-FR"/>
        </w:rPr>
        <w:t>Lycourgos</w:t>
      </w:r>
      <w:proofErr w:type="spellEnd"/>
      <w:r w:rsidRPr="00C9365D">
        <w:rPr>
          <w:rFonts w:ascii="Arial" w:eastAsia="Times New Roman" w:hAnsi="Arial" w:cs="Arial"/>
          <w:color w:val="000000"/>
          <w:sz w:val="18"/>
          <w:szCs w:val="18"/>
          <w:lang w:val="en-US" w:eastAsia="fr-FR"/>
        </w:rPr>
        <w:t>, President of the Chamber, L.S. Rossi, J.</w:t>
      </w:r>
      <w:r w:rsidRPr="00C9365D">
        <w:rPr>
          <w:rFonts w:ascii="Arial" w:eastAsia="Times New Roman" w:hAnsi="Arial" w:cs="Arial"/>
          <w:color w:val="000000"/>
          <w:sz w:val="18"/>
          <w:szCs w:val="18"/>
          <w:lang w:val="en-US" w:eastAsia="fr-FR"/>
        </w:rPr>
        <w:noBreakHyphen/>
        <w:t>C. </w:t>
      </w:r>
      <w:proofErr w:type="spellStart"/>
      <w:r w:rsidRPr="00C9365D">
        <w:rPr>
          <w:rFonts w:ascii="Arial" w:eastAsia="Times New Roman" w:hAnsi="Arial" w:cs="Arial"/>
          <w:color w:val="000000"/>
          <w:sz w:val="18"/>
          <w:szCs w:val="18"/>
          <w:lang w:val="en-US" w:eastAsia="fr-FR"/>
        </w:rPr>
        <w:t>Bonichot</w:t>
      </w:r>
      <w:proofErr w:type="spellEnd"/>
      <w:r w:rsidRPr="00C9365D">
        <w:rPr>
          <w:rFonts w:ascii="Arial" w:eastAsia="Times New Roman" w:hAnsi="Arial" w:cs="Arial"/>
          <w:color w:val="000000"/>
          <w:sz w:val="18"/>
          <w:szCs w:val="18"/>
          <w:lang w:val="en-US" w:eastAsia="fr-FR"/>
        </w:rPr>
        <w:t xml:space="preserve"> (Rapporteur), S. Rodin and O. </w:t>
      </w:r>
      <w:proofErr w:type="spellStart"/>
      <w:r w:rsidRPr="00C9365D">
        <w:rPr>
          <w:rFonts w:ascii="Arial" w:eastAsia="Times New Roman" w:hAnsi="Arial" w:cs="Arial"/>
          <w:color w:val="000000"/>
          <w:sz w:val="18"/>
          <w:szCs w:val="18"/>
          <w:lang w:val="en-US" w:eastAsia="fr-FR"/>
        </w:rPr>
        <w:t>Spineanu-Matei</w:t>
      </w:r>
      <w:proofErr w:type="spellEnd"/>
      <w:r w:rsidRPr="00C9365D">
        <w:rPr>
          <w:rFonts w:ascii="Arial" w:eastAsia="Times New Roman" w:hAnsi="Arial" w:cs="Arial"/>
          <w:color w:val="000000"/>
          <w:sz w:val="18"/>
          <w:szCs w:val="18"/>
          <w:lang w:val="en-US" w:eastAsia="fr-FR"/>
        </w:rPr>
        <w:t>, Judges,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s-ES" w:eastAsia="fr-FR"/>
        </w:rPr>
      </w:pPr>
      <w:proofErr w:type="spellStart"/>
      <w:r w:rsidRPr="00C9365D">
        <w:rPr>
          <w:rFonts w:ascii="Arial" w:eastAsia="Times New Roman" w:hAnsi="Arial" w:cs="Arial"/>
          <w:color w:val="000000"/>
          <w:sz w:val="18"/>
          <w:szCs w:val="18"/>
          <w:lang w:val="es-ES" w:eastAsia="fr-FR"/>
        </w:rPr>
        <w:t>Advocate</w:t>
      </w:r>
      <w:proofErr w:type="spellEnd"/>
      <w:r w:rsidRPr="00C9365D">
        <w:rPr>
          <w:rFonts w:ascii="Arial" w:eastAsia="Times New Roman" w:hAnsi="Arial" w:cs="Arial"/>
          <w:color w:val="000000"/>
          <w:sz w:val="18"/>
          <w:szCs w:val="18"/>
          <w:lang w:val="es-ES" w:eastAsia="fr-FR"/>
        </w:rPr>
        <w:t xml:space="preserve"> General: T. </w:t>
      </w:r>
      <w:proofErr w:type="spellStart"/>
      <w:r w:rsidRPr="00C9365D">
        <w:rPr>
          <w:rFonts w:ascii="Arial" w:eastAsia="Times New Roman" w:hAnsi="Arial" w:cs="Arial"/>
          <w:color w:val="000000"/>
          <w:sz w:val="18"/>
          <w:szCs w:val="18"/>
          <w:lang w:val="es-ES" w:eastAsia="fr-FR"/>
        </w:rPr>
        <w:t>Ćapeta</w:t>
      </w:r>
      <w:proofErr w:type="spellEnd"/>
      <w:r w:rsidRPr="00C9365D">
        <w:rPr>
          <w:rFonts w:ascii="Arial" w:eastAsia="Times New Roman" w:hAnsi="Arial" w:cs="Arial"/>
          <w:color w:val="000000"/>
          <w:sz w:val="18"/>
          <w:szCs w:val="18"/>
          <w:lang w:val="es-E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s-ES" w:eastAsia="fr-FR"/>
        </w:rPr>
      </w:pPr>
      <w:r w:rsidRPr="00C9365D">
        <w:rPr>
          <w:rFonts w:ascii="Arial" w:eastAsia="Times New Roman" w:hAnsi="Arial" w:cs="Arial"/>
          <w:color w:val="000000"/>
          <w:sz w:val="18"/>
          <w:szCs w:val="18"/>
          <w:lang w:val="es-ES" w:eastAsia="fr-FR"/>
        </w:rPr>
        <w:t>Registrar: A. </w:t>
      </w:r>
      <w:proofErr w:type="spellStart"/>
      <w:r w:rsidRPr="00C9365D">
        <w:rPr>
          <w:rFonts w:ascii="Arial" w:eastAsia="Times New Roman" w:hAnsi="Arial" w:cs="Arial"/>
          <w:color w:val="000000"/>
          <w:sz w:val="18"/>
          <w:szCs w:val="18"/>
          <w:lang w:val="es-ES" w:eastAsia="fr-FR"/>
        </w:rPr>
        <w:t>Calot</w:t>
      </w:r>
      <w:proofErr w:type="spellEnd"/>
      <w:r w:rsidRPr="00C9365D">
        <w:rPr>
          <w:rFonts w:ascii="Arial" w:eastAsia="Times New Roman" w:hAnsi="Arial" w:cs="Arial"/>
          <w:color w:val="000000"/>
          <w:sz w:val="18"/>
          <w:szCs w:val="18"/>
          <w:lang w:val="es-ES" w:eastAsia="fr-FR"/>
        </w:rPr>
        <w:t xml:space="preserve"> Escobar,</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having</w:t>
      </w:r>
      <w:proofErr w:type="gramEnd"/>
      <w:r w:rsidRPr="00C9365D">
        <w:rPr>
          <w:rFonts w:ascii="Arial" w:eastAsia="Times New Roman" w:hAnsi="Arial" w:cs="Arial"/>
          <w:color w:val="000000"/>
          <w:sz w:val="18"/>
          <w:szCs w:val="18"/>
          <w:lang w:val="en-US" w:eastAsia="fr-FR"/>
        </w:rPr>
        <w:t xml:space="preserve"> regard to the written procedure,</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after</w:t>
      </w:r>
      <w:proofErr w:type="gramEnd"/>
      <w:r w:rsidRPr="00C9365D">
        <w:rPr>
          <w:rFonts w:ascii="Arial" w:eastAsia="Times New Roman" w:hAnsi="Arial" w:cs="Arial"/>
          <w:color w:val="000000"/>
          <w:sz w:val="18"/>
          <w:szCs w:val="18"/>
          <w:lang w:val="en-US" w:eastAsia="fr-FR"/>
        </w:rPr>
        <w:t xml:space="preserve"> considering the observations submitted on behalf of:</w:t>
      </w:r>
    </w:p>
    <w:p w:rsidR="00C9365D" w:rsidRPr="00C9365D" w:rsidRDefault="00C9365D" w:rsidP="00C9365D">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DB Station &amp; Service AG, by M. </w:t>
      </w:r>
      <w:proofErr w:type="spellStart"/>
      <w:r w:rsidRPr="00C9365D">
        <w:rPr>
          <w:rFonts w:ascii="Arial" w:eastAsia="Times New Roman" w:hAnsi="Arial" w:cs="Arial"/>
          <w:color w:val="000000"/>
          <w:sz w:val="18"/>
          <w:szCs w:val="18"/>
          <w:lang w:val="en-US" w:eastAsia="fr-FR"/>
        </w:rPr>
        <w:t>Köhler</w:t>
      </w:r>
      <w:proofErr w:type="spellEnd"/>
      <w:r w:rsidRPr="00C9365D">
        <w:rPr>
          <w:rFonts w:ascii="Arial" w:eastAsia="Times New Roman" w:hAnsi="Arial" w:cs="Arial"/>
          <w:color w:val="000000"/>
          <w:sz w:val="18"/>
          <w:szCs w:val="18"/>
          <w:lang w:val="en-US" w:eastAsia="fr-FR"/>
        </w:rPr>
        <w:t xml:space="preserve"> and M. </w:t>
      </w:r>
      <w:proofErr w:type="spellStart"/>
      <w:r w:rsidRPr="00C9365D">
        <w:rPr>
          <w:rFonts w:ascii="Arial" w:eastAsia="Times New Roman" w:hAnsi="Arial" w:cs="Arial"/>
          <w:color w:val="000000"/>
          <w:sz w:val="18"/>
          <w:szCs w:val="18"/>
          <w:lang w:val="en-US" w:eastAsia="fr-FR"/>
        </w:rPr>
        <w:t>Weitner</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Rechtsanwälte</w:t>
      </w:r>
      <w:proofErr w:type="spellEnd"/>
      <w:r w:rsidRPr="00C9365D">
        <w:rPr>
          <w:rFonts w:ascii="Arial" w:eastAsia="Times New Roman" w:hAnsi="Arial" w:cs="Arial"/>
          <w:color w:val="000000"/>
          <w:sz w:val="18"/>
          <w:szCs w:val="18"/>
          <w:lang w:val="en-US" w:eastAsia="fr-FR"/>
        </w:rPr>
        <w:t>,</w:t>
      </w:r>
    </w:p>
    <w:p w:rsidR="00C9365D" w:rsidRPr="00C9365D" w:rsidRDefault="00C9365D" w:rsidP="00C9365D">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        ODEG </w:t>
      </w:r>
      <w:proofErr w:type="spellStart"/>
      <w:r w:rsidRPr="00C9365D">
        <w:rPr>
          <w:rFonts w:ascii="Arial" w:eastAsia="Times New Roman" w:hAnsi="Arial" w:cs="Arial"/>
          <w:color w:val="000000"/>
          <w:sz w:val="18"/>
          <w:szCs w:val="18"/>
          <w:lang w:val="en-US" w:eastAsia="fr-FR"/>
        </w:rPr>
        <w:t>Ostdeutsche</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Eisenbahn</w:t>
      </w:r>
      <w:proofErr w:type="spellEnd"/>
      <w:r w:rsidRPr="00C9365D">
        <w:rPr>
          <w:rFonts w:ascii="Arial" w:eastAsia="Times New Roman" w:hAnsi="Arial" w:cs="Arial"/>
          <w:color w:val="000000"/>
          <w:sz w:val="18"/>
          <w:szCs w:val="18"/>
          <w:lang w:val="en-US" w:eastAsia="fr-FR"/>
        </w:rPr>
        <w:t xml:space="preserve"> GmbH, by A.R. </w:t>
      </w:r>
      <w:proofErr w:type="spellStart"/>
      <w:r w:rsidRPr="00C9365D">
        <w:rPr>
          <w:rFonts w:ascii="Arial" w:eastAsia="Times New Roman" w:hAnsi="Arial" w:cs="Arial"/>
          <w:color w:val="000000"/>
          <w:sz w:val="18"/>
          <w:szCs w:val="18"/>
          <w:lang w:val="en-US" w:eastAsia="fr-FR"/>
        </w:rPr>
        <w:t>Schüssler</w:t>
      </w:r>
      <w:proofErr w:type="spellEnd"/>
      <w:r w:rsidRPr="00C9365D">
        <w:rPr>
          <w:rFonts w:ascii="Arial" w:eastAsia="Times New Roman" w:hAnsi="Arial" w:cs="Arial"/>
          <w:color w:val="000000"/>
          <w:sz w:val="18"/>
          <w:szCs w:val="18"/>
          <w:lang w:val="en-US" w:eastAsia="fr-FR"/>
        </w:rPr>
        <w:t xml:space="preserve"> and B. </w:t>
      </w:r>
      <w:proofErr w:type="spellStart"/>
      <w:r w:rsidRPr="00C9365D">
        <w:rPr>
          <w:rFonts w:ascii="Arial" w:eastAsia="Times New Roman" w:hAnsi="Arial" w:cs="Arial"/>
          <w:color w:val="000000"/>
          <w:sz w:val="18"/>
          <w:szCs w:val="18"/>
          <w:lang w:val="en-US" w:eastAsia="fr-FR"/>
        </w:rPr>
        <w:t>Uhlenhut</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Rechtsanwälte</w:t>
      </w:r>
      <w:proofErr w:type="spellEnd"/>
      <w:r w:rsidRPr="00C9365D">
        <w:rPr>
          <w:rFonts w:ascii="Arial" w:eastAsia="Times New Roman" w:hAnsi="Arial" w:cs="Arial"/>
          <w:color w:val="000000"/>
          <w:sz w:val="18"/>
          <w:szCs w:val="18"/>
          <w:lang w:val="en-US" w:eastAsia="fr-FR"/>
        </w:rPr>
        <w:t>,</w:t>
      </w:r>
    </w:p>
    <w:p w:rsidR="00C9365D" w:rsidRPr="00C9365D" w:rsidRDefault="00C9365D" w:rsidP="00C9365D">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European Commission, by B. Ernst and G. </w:t>
      </w:r>
      <w:proofErr w:type="spellStart"/>
      <w:r w:rsidRPr="00C9365D">
        <w:rPr>
          <w:rFonts w:ascii="Arial" w:eastAsia="Times New Roman" w:hAnsi="Arial" w:cs="Arial"/>
          <w:color w:val="000000"/>
          <w:sz w:val="18"/>
          <w:szCs w:val="18"/>
          <w:lang w:val="en-US" w:eastAsia="fr-FR"/>
        </w:rPr>
        <w:t>Meessen</w:t>
      </w:r>
      <w:proofErr w:type="spellEnd"/>
      <w:r w:rsidRPr="00C9365D">
        <w:rPr>
          <w:rFonts w:ascii="Arial" w:eastAsia="Times New Roman" w:hAnsi="Arial" w:cs="Arial"/>
          <w:color w:val="000000"/>
          <w:sz w:val="18"/>
          <w:szCs w:val="18"/>
          <w:lang w:val="en-US" w:eastAsia="fr-FR"/>
        </w:rPr>
        <w:t>, acting as Agents,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after</w:t>
      </w:r>
      <w:proofErr w:type="gramEnd"/>
      <w:r w:rsidRPr="00C9365D">
        <w:rPr>
          <w:rFonts w:ascii="Arial" w:eastAsia="Times New Roman" w:hAnsi="Arial" w:cs="Arial"/>
          <w:color w:val="000000"/>
          <w:sz w:val="18"/>
          <w:szCs w:val="18"/>
          <w:lang w:val="en-US" w:eastAsia="fr-FR"/>
        </w:rPr>
        <w:t xml:space="preserve"> hearing the Opinion of the Advocate General at the sitting on 7 April 2022,</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gives</w:t>
      </w:r>
      <w:proofErr w:type="gramEnd"/>
      <w:r w:rsidRPr="00C9365D">
        <w:rPr>
          <w:rFonts w:ascii="Arial" w:eastAsia="Times New Roman" w:hAnsi="Arial" w:cs="Arial"/>
          <w:color w:val="000000"/>
          <w:sz w:val="18"/>
          <w:szCs w:val="18"/>
          <w:lang w:val="en-US" w:eastAsia="fr-FR"/>
        </w:rPr>
        <w:t xml:space="preserve"> the following</w:t>
      </w:r>
    </w:p>
    <w:p w:rsidR="00C9365D" w:rsidRPr="00C9365D" w:rsidRDefault="00C9365D" w:rsidP="00C9365D">
      <w:pPr>
        <w:spacing w:before="480" w:after="480" w:line="240" w:lineRule="auto"/>
        <w:ind w:left="567"/>
        <w:jc w:val="center"/>
        <w:rPr>
          <w:rFonts w:ascii="Arial" w:eastAsia="Times New Roman" w:hAnsi="Arial" w:cs="Arial"/>
          <w:b/>
          <w:bCs/>
          <w:color w:val="000000"/>
          <w:sz w:val="18"/>
          <w:szCs w:val="18"/>
          <w:lang w:val="en-US" w:eastAsia="fr-FR"/>
        </w:rPr>
      </w:pPr>
      <w:r w:rsidRPr="00C9365D">
        <w:rPr>
          <w:rFonts w:ascii="Arial" w:eastAsia="Times New Roman" w:hAnsi="Arial" w:cs="Arial"/>
          <w:b/>
          <w:bCs/>
          <w:color w:val="000000"/>
          <w:sz w:val="18"/>
          <w:szCs w:val="18"/>
          <w:lang w:val="en-US" w:eastAsia="fr-FR"/>
        </w:rPr>
        <w:t>Judgment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1</w:t>
      </w:r>
      <w:r w:rsidRPr="00C9365D">
        <w:rPr>
          <w:rFonts w:ascii="Arial" w:eastAsia="Times New Roman" w:hAnsi="Arial" w:cs="Arial"/>
          <w:color w:val="000000"/>
          <w:sz w:val="18"/>
          <w:szCs w:val="18"/>
          <w:lang w:val="en-US" w:eastAsia="fr-FR"/>
        </w:rPr>
        <w:t>        This request for a preliminary ruling concerns the interpretation of Article 102 TFEU and of Articles 4, 7 to 12 and 30 of Directive 2001/14/EC of the European Parliament and of the Council of 26 February 2001 on the allocation of railway infrastructure capacity and the levying of charges for the use of the railway infrastructure (OJ 2001 L 75, p. 29 and corrigendum OJ 2004 L 220, p. 16), as amended by Directive 2007/58/EC of the European Parliament and of the Council of 23 October 2007 (OJ 2007 L 315, p. 44) (‘Directive 2001/14’).</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w:t>
      </w:r>
      <w:r w:rsidRPr="00C9365D">
        <w:rPr>
          <w:rFonts w:ascii="Arial" w:eastAsia="Times New Roman" w:hAnsi="Arial" w:cs="Arial"/>
          <w:color w:val="000000"/>
          <w:sz w:val="18"/>
          <w:szCs w:val="18"/>
          <w:lang w:val="en-US" w:eastAsia="fr-FR"/>
        </w:rPr>
        <w:t xml:space="preserve">        The request </w:t>
      </w:r>
      <w:proofErr w:type="gramStart"/>
      <w:r w:rsidRPr="00C9365D">
        <w:rPr>
          <w:rFonts w:ascii="Arial" w:eastAsia="Times New Roman" w:hAnsi="Arial" w:cs="Arial"/>
          <w:color w:val="000000"/>
          <w:sz w:val="18"/>
          <w:szCs w:val="18"/>
          <w:lang w:val="en-US" w:eastAsia="fr-FR"/>
        </w:rPr>
        <w:t>has been made</w:t>
      </w:r>
      <w:proofErr w:type="gramEnd"/>
      <w:r w:rsidRPr="00C9365D">
        <w:rPr>
          <w:rFonts w:ascii="Arial" w:eastAsia="Times New Roman" w:hAnsi="Arial" w:cs="Arial"/>
          <w:color w:val="000000"/>
          <w:sz w:val="18"/>
          <w:szCs w:val="18"/>
          <w:lang w:val="en-US" w:eastAsia="fr-FR"/>
        </w:rPr>
        <w:t xml:space="preserve"> in the proceedings between DB Station &amp; Service AG and ODEG </w:t>
      </w:r>
      <w:proofErr w:type="spellStart"/>
      <w:r w:rsidRPr="00C9365D">
        <w:rPr>
          <w:rFonts w:ascii="Arial" w:eastAsia="Times New Roman" w:hAnsi="Arial" w:cs="Arial"/>
          <w:color w:val="000000"/>
          <w:sz w:val="18"/>
          <w:szCs w:val="18"/>
          <w:lang w:val="en-US" w:eastAsia="fr-FR"/>
        </w:rPr>
        <w:t>Ostdeutsche</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Eisenbahn</w:t>
      </w:r>
      <w:proofErr w:type="spellEnd"/>
      <w:r w:rsidRPr="00C9365D">
        <w:rPr>
          <w:rFonts w:ascii="Arial" w:eastAsia="Times New Roman" w:hAnsi="Arial" w:cs="Arial"/>
          <w:color w:val="000000"/>
          <w:sz w:val="18"/>
          <w:szCs w:val="18"/>
          <w:lang w:val="en-US" w:eastAsia="fr-FR"/>
        </w:rPr>
        <w:t xml:space="preserve"> GmbH (‘ODEG’) concerning the amount of the charge payable by ODEG for the use of railway stations operated by DB Station &amp; Service.</w:t>
      </w:r>
    </w:p>
    <w:p w:rsidR="00C9365D" w:rsidRPr="00C9365D" w:rsidRDefault="00C9365D" w:rsidP="00C9365D">
      <w:pPr>
        <w:spacing w:before="480" w:after="240" w:line="240" w:lineRule="auto"/>
        <w:ind w:left="567"/>
        <w:jc w:val="both"/>
        <w:rPr>
          <w:rFonts w:ascii="Arial" w:eastAsia="Times New Roman" w:hAnsi="Arial" w:cs="Arial"/>
          <w:b/>
          <w:bCs/>
          <w:color w:val="000000"/>
          <w:sz w:val="18"/>
          <w:szCs w:val="18"/>
          <w:lang w:val="en-US" w:eastAsia="fr-FR"/>
        </w:rPr>
      </w:pPr>
      <w:r w:rsidRPr="00C9365D">
        <w:rPr>
          <w:rFonts w:ascii="Arial" w:eastAsia="Times New Roman" w:hAnsi="Arial" w:cs="Arial"/>
          <w:b/>
          <w:bCs/>
          <w:color w:val="000000"/>
          <w:sz w:val="18"/>
          <w:szCs w:val="18"/>
          <w:lang w:val="en-US" w:eastAsia="fr-FR"/>
        </w:rPr>
        <w:t> Legal context</w:t>
      </w:r>
    </w:p>
    <w:p w:rsidR="00C9365D" w:rsidRPr="00C9365D" w:rsidRDefault="00C9365D" w:rsidP="00C9365D">
      <w:pPr>
        <w:spacing w:after="240" w:line="240" w:lineRule="auto"/>
        <w:ind w:left="567"/>
        <w:jc w:val="both"/>
        <w:rPr>
          <w:rFonts w:ascii="Arial" w:eastAsia="Times New Roman" w:hAnsi="Arial" w:cs="Arial"/>
          <w:i/>
          <w:iCs/>
          <w:color w:val="000000"/>
          <w:sz w:val="18"/>
          <w:szCs w:val="18"/>
          <w:lang w:val="en-US" w:eastAsia="fr-FR"/>
        </w:rPr>
      </w:pPr>
      <w:r w:rsidRPr="00C9365D">
        <w:rPr>
          <w:rFonts w:ascii="Arial" w:eastAsia="Times New Roman" w:hAnsi="Arial" w:cs="Arial"/>
          <w:i/>
          <w:iCs/>
          <w:color w:val="000000"/>
          <w:sz w:val="18"/>
          <w:szCs w:val="18"/>
          <w:lang w:val="en-US" w:eastAsia="fr-FR"/>
        </w:rPr>
        <w:t> </w:t>
      </w:r>
      <w:r w:rsidRPr="00C9365D">
        <w:rPr>
          <w:rFonts w:ascii="Arial" w:eastAsia="Times New Roman" w:hAnsi="Arial" w:cs="Arial"/>
          <w:b/>
          <w:bCs/>
          <w:i/>
          <w:iCs/>
          <w:color w:val="000000"/>
          <w:sz w:val="18"/>
          <w:szCs w:val="18"/>
          <w:lang w:val="en-US" w:eastAsia="fr-FR"/>
        </w:rPr>
        <w:t>European Union law</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r w:rsidRPr="00C9365D">
        <w:rPr>
          <w:rFonts w:ascii="Arial" w:eastAsia="Times New Roman" w:hAnsi="Arial" w:cs="Arial"/>
          <w:i/>
          <w:iCs/>
          <w:color w:val="000000"/>
          <w:sz w:val="18"/>
          <w:szCs w:val="18"/>
          <w:lang w:val="en-US" w:eastAsia="fr-FR"/>
        </w:rPr>
        <w:t>Directive 2001/14</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w:t>
      </w:r>
      <w:r w:rsidRPr="00C9365D">
        <w:rPr>
          <w:rFonts w:ascii="Arial" w:eastAsia="Times New Roman" w:hAnsi="Arial" w:cs="Arial"/>
          <w:color w:val="000000"/>
          <w:sz w:val="18"/>
          <w:szCs w:val="18"/>
          <w:lang w:val="en-US" w:eastAsia="fr-FR"/>
        </w:rPr>
        <w:t xml:space="preserve">        Recitals 5, 11, 16, 32, 40 and 46 of Directive 2001/14 </w:t>
      </w:r>
      <w:proofErr w:type="gramStart"/>
      <w:r w:rsidRPr="00C9365D">
        <w:rPr>
          <w:rFonts w:ascii="Arial" w:eastAsia="Times New Roman" w:hAnsi="Arial" w:cs="Arial"/>
          <w:color w:val="000000"/>
          <w:sz w:val="18"/>
          <w:szCs w:val="18"/>
          <w:lang w:val="en-US" w:eastAsia="fr-FR"/>
        </w:rPr>
        <w:t>were worded</w:t>
      </w:r>
      <w:proofErr w:type="gramEnd"/>
      <w:r w:rsidRPr="00C9365D">
        <w:rPr>
          <w:rFonts w:ascii="Arial" w:eastAsia="Times New Roman" w:hAnsi="Arial" w:cs="Arial"/>
          <w:color w:val="000000"/>
          <w:sz w:val="18"/>
          <w:szCs w:val="18"/>
          <w:lang w:val="en-US" w:eastAsia="fr-FR"/>
        </w:rPr>
        <w:t xml:space="preserve"> as follows:</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‘(5)      To ensure transparency and non-discriminatory access to rail infrastructure for all railway undertakings all the necessary information required to use access rights are to be published in a network statement.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(11)      The charging and capacity allocation schemes should permit equal and non-discriminatory access for all undertakings and attempt as far as possible to meet the needs of all users and traffic types in a fair and non-discriminatory manner.</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(16)      Charging and capacity allocation schemes should allow for fair competition in the provision of railway services.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lastRenderedPageBreak/>
        <w:t xml:space="preserve">(32)      It is important to </w:t>
      </w:r>
      <w:proofErr w:type="spellStart"/>
      <w:r w:rsidRPr="00C9365D">
        <w:rPr>
          <w:rFonts w:ascii="Arial" w:eastAsia="Times New Roman" w:hAnsi="Arial" w:cs="Arial"/>
          <w:color w:val="000000"/>
          <w:sz w:val="18"/>
          <w:szCs w:val="18"/>
          <w:lang w:val="en-US" w:eastAsia="fr-FR"/>
        </w:rPr>
        <w:t>minimise</w:t>
      </w:r>
      <w:proofErr w:type="spellEnd"/>
      <w:r w:rsidRPr="00C9365D">
        <w:rPr>
          <w:rFonts w:ascii="Arial" w:eastAsia="Times New Roman" w:hAnsi="Arial" w:cs="Arial"/>
          <w:color w:val="000000"/>
          <w:sz w:val="18"/>
          <w:szCs w:val="18"/>
          <w:lang w:val="en-US" w:eastAsia="fr-FR"/>
        </w:rPr>
        <w:t xml:space="preserve"> the distortions of </w:t>
      </w:r>
      <w:proofErr w:type="gramStart"/>
      <w:r w:rsidRPr="00C9365D">
        <w:rPr>
          <w:rFonts w:ascii="Arial" w:eastAsia="Times New Roman" w:hAnsi="Arial" w:cs="Arial"/>
          <w:color w:val="000000"/>
          <w:sz w:val="18"/>
          <w:szCs w:val="18"/>
          <w:lang w:val="en-US" w:eastAsia="fr-FR"/>
        </w:rPr>
        <w:t>competition which</w:t>
      </w:r>
      <w:proofErr w:type="gramEnd"/>
      <w:r w:rsidRPr="00C9365D">
        <w:rPr>
          <w:rFonts w:ascii="Arial" w:eastAsia="Times New Roman" w:hAnsi="Arial" w:cs="Arial"/>
          <w:color w:val="000000"/>
          <w:sz w:val="18"/>
          <w:szCs w:val="18"/>
          <w:lang w:val="en-US" w:eastAsia="fr-FR"/>
        </w:rPr>
        <w:t xml:space="preserve"> may arise, either between railway infrastructures or between transport modes, from significant differences in charging principles.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(40)      A railway infrastructure is a natural monopoly. It is therefore necessary to provide infrastructure managers with incentives to reduce costs and manage their infrastructure efficiently.</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(46)      The efficient management and fair and non-discriminatory use of rail infrastructure require the establishment of a regulatory body that oversees the application of these Community rules and acts as an appeal body, notwithstanding the possibility of judicial review.’</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4</w:t>
      </w:r>
      <w:proofErr w:type="gramEnd"/>
      <w:r w:rsidRPr="00C9365D">
        <w:rPr>
          <w:rFonts w:ascii="Arial" w:eastAsia="Times New Roman" w:hAnsi="Arial" w:cs="Arial"/>
          <w:color w:val="000000"/>
          <w:sz w:val="18"/>
          <w:szCs w:val="18"/>
          <w:lang w:val="en-US" w:eastAsia="fr-FR"/>
        </w:rPr>
        <w:t>        Article 1(1) of that directive provided: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‘This Directive concerns the principles and procedures to be applied with regard to the setting and charging of railway infrastructure charges and the allocation of railway infrastructure capacity.</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5</w:t>
      </w:r>
      <w:proofErr w:type="gramEnd"/>
      <w:r w:rsidRPr="00C9365D">
        <w:rPr>
          <w:rFonts w:ascii="Arial" w:eastAsia="Times New Roman" w:hAnsi="Arial" w:cs="Arial"/>
          <w:color w:val="000000"/>
          <w:sz w:val="18"/>
          <w:szCs w:val="18"/>
          <w:lang w:val="en-US" w:eastAsia="fr-FR"/>
        </w:rPr>
        <w:t xml:space="preserve">        Article 2 of Directive 2001/14 contained definitions. That article </w:t>
      </w:r>
      <w:proofErr w:type="gramStart"/>
      <w:r w:rsidRPr="00C9365D">
        <w:rPr>
          <w:rFonts w:ascii="Arial" w:eastAsia="Times New Roman" w:hAnsi="Arial" w:cs="Arial"/>
          <w:color w:val="000000"/>
          <w:sz w:val="18"/>
          <w:szCs w:val="18"/>
          <w:lang w:val="en-US" w:eastAsia="fr-FR"/>
        </w:rPr>
        <w:t>was worded</w:t>
      </w:r>
      <w:proofErr w:type="gramEnd"/>
      <w:r w:rsidRPr="00C9365D">
        <w:rPr>
          <w:rFonts w:ascii="Arial" w:eastAsia="Times New Roman" w:hAnsi="Arial" w:cs="Arial"/>
          <w:color w:val="000000"/>
          <w:sz w:val="18"/>
          <w:szCs w:val="18"/>
          <w:lang w:val="en-US" w:eastAsia="fr-FR"/>
        </w:rPr>
        <w:t xml:space="preserve"> as follows: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‘For the purpose of this Directive:</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(b)      “applicant” means a licensed railway undertaking and/or an international grouping of railway undertakings, and, in Member States which provide for such a possibility, other persons and/or legal entities with public service or commercial interest in procuring infrastructure capacity … for the operation of railway service on their respective territories;</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(f)      “framework agreement” means a legally binding general agreement on the basis of public or private law, setting out the rights and obligations of an applicant and the infrastructure manager or the allocation body in relation to the infrastructure capacity to be allocated and the charges to be levied over a period longer than one working timetable period;</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(h)      “</w:t>
      </w:r>
      <w:proofErr w:type="gramStart"/>
      <w:r w:rsidRPr="00C9365D">
        <w:rPr>
          <w:rFonts w:ascii="Arial" w:eastAsia="Times New Roman" w:hAnsi="Arial" w:cs="Arial"/>
          <w:color w:val="000000"/>
          <w:sz w:val="18"/>
          <w:szCs w:val="18"/>
          <w:lang w:val="en-US" w:eastAsia="fr-FR"/>
        </w:rPr>
        <w:t>infrastructure</w:t>
      </w:r>
      <w:proofErr w:type="gramEnd"/>
      <w:r w:rsidRPr="00C9365D">
        <w:rPr>
          <w:rFonts w:ascii="Arial" w:eastAsia="Times New Roman" w:hAnsi="Arial" w:cs="Arial"/>
          <w:color w:val="000000"/>
          <w:sz w:val="18"/>
          <w:szCs w:val="18"/>
          <w:lang w:val="en-US" w:eastAsia="fr-FR"/>
        </w:rPr>
        <w:t xml:space="preserve"> manager” means </w:t>
      </w:r>
      <w:proofErr w:type="spellStart"/>
      <w:r w:rsidRPr="00C9365D">
        <w:rPr>
          <w:rFonts w:ascii="Arial" w:eastAsia="Times New Roman" w:hAnsi="Arial" w:cs="Arial"/>
          <w:color w:val="000000"/>
          <w:sz w:val="18"/>
          <w:szCs w:val="18"/>
          <w:lang w:val="en-US" w:eastAsia="fr-FR"/>
        </w:rPr>
        <w:t>any body</w:t>
      </w:r>
      <w:proofErr w:type="spellEnd"/>
      <w:r w:rsidRPr="00C9365D">
        <w:rPr>
          <w:rFonts w:ascii="Arial" w:eastAsia="Times New Roman" w:hAnsi="Arial" w:cs="Arial"/>
          <w:color w:val="000000"/>
          <w:sz w:val="18"/>
          <w:szCs w:val="18"/>
          <w:lang w:val="en-US" w:eastAsia="fr-FR"/>
        </w:rPr>
        <w:t xml:space="preserve"> or undertaking that is responsible in particular for establishing and maintaining railway infrastructure. …</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w:t>
      </w:r>
      <w:r w:rsidRPr="00C9365D">
        <w:rPr>
          <w:rFonts w:ascii="Arial" w:eastAsia="Times New Roman" w:hAnsi="Arial" w:cs="Arial"/>
          <w:color w:val="000000"/>
          <w:sz w:val="18"/>
          <w:szCs w:val="18"/>
          <w:lang w:val="en-US" w:eastAsia="fr-FR"/>
        </w:rPr>
        <w:t>        Article </w:t>
      </w:r>
      <w:proofErr w:type="gramStart"/>
      <w:r w:rsidRPr="00C9365D">
        <w:rPr>
          <w:rFonts w:ascii="Arial" w:eastAsia="Times New Roman" w:hAnsi="Arial" w:cs="Arial"/>
          <w:color w:val="000000"/>
          <w:sz w:val="18"/>
          <w:szCs w:val="18"/>
          <w:lang w:val="en-US" w:eastAsia="fr-FR"/>
        </w:rPr>
        <w:t>4</w:t>
      </w:r>
      <w:proofErr w:type="gramEnd"/>
      <w:r w:rsidRPr="00C9365D">
        <w:rPr>
          <w:rFonts w:ascii="Arial" w:eastAsia="Times New Roman" w:hAnsi="Arial" w:cs="Arial"/>
          <w:color w:val="000000"/>
          <w:sz w:val="18"/>
          <w:szCs w:val="18"/>
          <w:lang w:val="en-US" w:eastAsia="fr-FR"/>
        </w:rPr>
        <w:t xml:space="preserve"> of that directive, entitled ‘Establishing, determining and collecting charges’, provided: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      Member States shall establish a charging framework while respecting the management independence laid down in Article 4 of [Council Directive 91/440/EEC of 29 July 1991 on the development of the Community’s railways (OJ 1991 L 237, p. 25)].</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Subject to the said condition of management independence, Member States shall also establish specific charging rules or delegate such powers to the infrastructure manager. The </w:t>
      </w:r>
      <w:proofErr w:type="gramStart"/>
      <w:r w:rsidRPr="00C9365D">
        <w:rPr>
          <w:rFonts w:ascii="Arial" w:eastAsia="Times New Roman" w:hAnsi="Arial" w:cs="Arial"/>
          <w:color w:val="000000"/>
          <w:sz w:val="18"/>
          <w:szCs w:val="18"/>
          <w:lang w:val="en-US" w:eastAsia="fr-FR"/>
        </w:rPr>
        <w:t>determination of the charge for the use of infrastructure and the collection of this charge shall be performed by the infrastructure manager</w:t>
      </w:r>
      <w:proofErr w:type="gramEnd"/>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5.      Infrastructure managers shall ensure that the application of the charging scheme results in equivalent and non-discriminatory charges for different railway undertakings that perform services of equivalent nature in a similar part of the market and that the charges actually applied comply with the rules laid down in the network statement.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lastRenderedPageBreak/>
        <w: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7</w:t>
      </w:r>
      <w:proofErr w:type="gramEnd"/>
      <w:r w:rsidRPr="00C9365D">
        <w:rPr>
          <w:rFonts w:ascii="Arial" w:eastAsia="Times New Roman" w:hAnsi="Arial" w:cs="Arial"/>
          <w:color w:val="000000"/>
          <w:sz w:val="18"/>
          <w:szCs w:val="18"/>
          <w:lang w:val="en-US" w:eastAsia="fr-FR"/>
        </w:rPr>
        <w:t>        Under Article 5(1) of Directive 2001/14:</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‘Railway undertakings shall, on a non-discriminatory basis, be entitled to the minimum access package and track access to service facilities that are described in Annex II. The supply of services referred to in Annex II, point 2 </w:t>
      </w:r>
      <w:proofErr w:type="gramStart"/>
      <w:r w:rsidRPr="00C9365D">
        <w:rPr>
          <w:rFonts w:ascii="Arial" w:eastAsia="Times New Roman" w:hAnsi="Arial" w:cs="Arial"/>
          <w:color w:val="000000"/>
          <w:sz w:val="18"/>
          <w:szCs w:val="18"/>
          <w:lang w:val="en-US" w:eastAsia="fr-FR"/>
        </w:rPr>
        <w:t>shall be provided</w:t>
      </w:r>
      <w:proofErr w:type="gramEnd"/>
      <w:r w:rsidRPr="00C9365D">
        <w:rPr>
          <w:rFonts w:ascii="Arial" w:eastAsia="Times New Roman" w:hAnsi="Arial" w:cs="Arial"/>
          <w:color w:val="000000"/>
          <w:sz w:val="18"/>
          <w:szCs w:val="18"/>
          <w:lang w:val="en-US" w:eastAsia="fr-FR"/>
        </w:rPr>
        <w:t xml:space="preserve"> in a non-discriminatory manner and requests by railway undertakings may only be rejected if viable alternatives under market conditions exist. …’</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8</w:t>
      </w:r>
      <w:r w:rsidRPr="00C9365D">
        <w:rPr>
          <w:rFonts w:ascii="Arial" w:eastAsia="Times New Roman" w:hAnsi="Arial" w:cs="Arial"/>
          <w:color w:val="000000"/>
          <w:sz w:val="18"/>
          <w:szCs w:val="18"/>
          <w:lang w:val="en-US" w:eastAsia="fr-FR"/>
        </w:rPr>
        <w:t>        Article 7 of that directive concerned charging principles and provided, in paragraph 7:</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‘The supply of services referred to in Annex II, point 2, shall not be covered by this Article. Without prejudice to the foregoing, account shall be taken, in setting the prices for the services set out in Annex II, point 2, of the competitive situation of rail transport.’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9</w:t>
      </w:r>
      <w:proofErr w:type="gramEnd"/>
      <w:r w:rsidRPr="00C9365D">
        <w:rPr>
          <w:rFonts w:ascii="Arial" w:eastAsia="Times New Roman" w:hAnsi="Arial" w:cs="Arial"/>
          <w:color w:val="000000"/>
          <w:sz w:val="18"/>
          <w:szCs w:val="18"/>
          <w:lang w:val="en-US" w:eastAsia="fr-FR"/>
        </w:rPr>
        <w:t>        Under Article 9(1) of Directive 2001/14:</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‘Without prejudice to Articles 81, 82, 86 and 87 [EC] and notwithstanding Article 7(3) of this Directive, any discount on the charges levied on a railway undertaking by the infrastructure manager, for any service, shall comply with the criteria set out in this Article.’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10</w:t>
      </w:r>
      <w:r w:rsidRPr="00C9365D">
        <w:rPr>
          <w:rFonts w:ascii="Arial" w:eastAsia="Times New Roman" w:hAnsi="Arial" w:cs="Arial"/>
          <w:color w:val="000000"/>
          <w:sz w:val="18"/>
          <w:szCs w:val="18"/>
          <w:lang w:val="en-US" w:eastAsia="fr-FR"/>
        </w:rPr>
        <w:t>      Article 17 of that directive, entitled ‘Framework agreements’, provided in paragraph 1:</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‘Without prejudice to Articles 81, 82 and 86 [EC], a framework agreement may be concluded with an applicant. Such a framework agreement specifies the characteristics of the infrastructure capacity required by and offered to the applicant over a </w:t>
      </w:r>
      <w:proofErr w:type="gramStart"/>
      <w:r w:rsidRPr="00C9365D">
        <w:rPr>
          <w:rFonts w:ascii="Arial" w:eastAsia="Times New Roman" w:hAnsi="Arial" w:cs="Arial"/>
          <w:color w:val="000000"/>
          <w:sz w:val="18"/>
          <w:szCs w:val="18"/>
          <w:lang w:val="en-US" w:eastAsia="fr-FR"/>
        </w:rPr>
        <w:t>period of time</w:t>
      </w:r>
      <w:proofErr w:type="gramEnd"/>
      <w:r w:rsidRPr="00C9365D">
        <w:rPr>
          <w:rFonts w:ascii="Arial" w:eastAsia="Times New Roman" w:hAnsi="Arial" w:cs="Arial"/>
          <w:color w:val="000000"/>
          <w:sz w:val="18"/>
          <w:szCs w:val="18"/>
          <w:lang w:val="en-US" w:eastAsia="fr-FR"/>
        </w:rPr>
        <w:t xml:space="preserve"> exceeding one working timetable period. The framework agreement shall not specify a train path in detail, but should be such as to seek to meet the legitimate commercial needs of the applicant. …’</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11</w:t>
      </w:r>
      <w:proofErr w:type="gramEnd"/>
      <w:r w:rsidRPr="00C9365D">
        <w:rPr>
          <w:rFonts w:ascii="Arial" w:eastAsia="Times New Roman" w:hAnsi="Arial" w:cs="Arial"/>
          <w:color w:val="000000"/>
          <w:sz w:val="18"/>
          <w:szCs w:val="18"/>
          <w:lang w:val="en-US" w:eastAsia="fr-FR"/>
        </w:rPr>
        <w:t>      Article 24(2) of Directive 2001/14 provided: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‘Where there are suitable alternative routes, the infrastructure manager may, after consultation with interested parties, designate particular infrastructure for use by specified types of traffic. Without prejudice to Articles 81, 82 and 86 [EC], when such designation has occurred, the infrastructure manager may give priority to this type of traffic when allocating infrastructure capacity.</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12</w:t>
      </w:r>
      <w:r w:rsidRPr="00C9365D">
        <w:rPr>
          <w:rFonts w:ascii="Arial" w:eastAsia="Times New Roman" w:hAnsi="Arial" w:cs="Arial"/>
          <w:color w:val="000000"/>
          <w:sz w:val="18"/>
          <w:szCs w:val="18"/>
          <w:lang w:val="en-US" w:eastAsia="fr-FR"/>
        </w:rPr>
        <w:t>      Under Article 30 of that directive, entitled ‘Regulatory body’:</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‘1.      Without prejudice to Article 21(6), Member States shall establish a regulatory body. This body, which can be the Ministry responsible for transport matters or any other body, shall be independent in its </w:t>
      </w:r>
      <w:proofErr w:type="spellStart"/>
      <w:r w:rsidRPr="00C9365D">
        <w:rPr>
          <w:rFonts w:ascii="Arial" w:eastAsia="Times New Roman" w:hAnsi="Arial" w:cs="Arial"/>
          <w:color w:val="000000"/>
          <w:sz w:val="18"/>
          <w:szCs w:val="18"/>
          <w:lang w:val="en-US" w:eastAsia="fr-FR"/>
        </w:rPr>
        <w:t>organisation</w:t>
      </w:r>
      <w:proofErr w:type="spellEnd"/>
      <w:r w:rsidRPr="00C9365D">
        <w:rPr>
          <w:rFonts w:ascii="Arial" w:eastAsia="Times New Roman" w:hAnsi="Arial" w:cs="Arial"/>
          <w:color w:val="000000"/>
          <w:sz w:val="18"/>
          <w:szCs w:val="18"/>
          <w:lang w:val="en-US" w:eastAsia="fr-FR"/>
        </w:rPr>
        <w:t xml:space="preserve">, funding decisions, legal structure and decision-making from any infrastructure manager, charging body, allocation body or applicant. It shall furthermore be functionally independent from any competent authority involved in the award of a public service contract. The body shall function according to the principles outlined in this Article whereby appeal and regulatory functions </w:t>
      </w:r>
      <w:proofErr w:type="gramStart"/>
      <w:r w:rsidRPr="00C9365D">
        <w:rPr>
          <w:rFonts w:ascii="Arial" w:eastAsia="Times New Roman" w:hAnsi="Arial" w:cs="Arial"/>
          <w:color w:val="000000"/>
          <w:sz w:val="18"/>
          <w:szCs w:val="18"/>
          <w:lang w:val="en-US" w:eastAsia="fr-FR"/>
        </w:rPr>
        <w:t>may be attributed</w:t>
      </w:r>
      <w:proofErr w:type="gramEnd"/>
      <w:r w:rsidRPr="00C9365D">
        <w:rPr>
          <w:rFonts w:ascii="Arial" w:eastAsia="Times New Roman" w:hAnsi="Arial" w:cs="Arial"/>
          <w:color w:val="000000"/>
          <w:sz w:val="18"/>
          <w:szCs w:val="18"/>
          <w:lang w:val="en-US" w:eastAsia="fr-FR"/>
        </w:rPr>
        <w:t xml:space="preserve"> to separate bodies.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2.      An applicant shall have a right to appeal to the regulatory body if it believes that it has been unfairly treated, discriminated against or is in any other way aggrieved, and in particular against decisions adopted by the infrastructure manager or where appropriate the railway undertaking concerning:</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(a)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network statement;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(d)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charging scheme;</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(e)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level or structure of infrastructure fees which it is, or may be, required to pay;</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(f)      arrangements for access in accordance with Article 10 of [Directive 91/440, as amended by Directive 2004/51/EC of the European Parliament and the Council of 29 April 2004 (OJ 2004 L 164 p. 164)].</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lastRenderedPageBreak/>
        <w:t xml:space="preserve">3.      The regulatory body shall ensure that charges set by the infrastructure manager comply with chapter II and are non-discriminatory. Negotiation between applicants and an infrastructure manager concerning the level of infrastructure charges </w:t>
      </w:r>
      <w:proofErr w:type="gramStart"/>
      <w:r w:rsidRPr="00C9365D">
        <w:rPr>
          <w:rFonts w:ascii="Arial" w:eastAsia="Times New Roman" w:hAnsi="Arial" w:cs="Arial"/>
          <w:color w:val="000000"/>
          <w:sz w:val="18"/>
          <w:szCs w:val="18"/>
          <w:lang w:val="en-US" w:eastAsia="fr-FR"/>
        </w:rPr>
        <w:t>shall only be permitted</w:t>
      </w:r>
      <w:proofErr w:type="gramEnd"/>
      <w:r w:rsidRPr="00C9365D">
        <w:rPr>
          <w:rFonts w:ascii="Arial" w:eastAsia="Times New Roman" w:hAnsi="Arial" w:cs="Arial"/>
          <w:color w:val="000000"/>
          <w:sz w:val="18"/>
          <w:szCs w:val="18"/>
          <w:lang w:val="en-US" w:eastAsia="fr-FR"/>
        </w:rPr>
        <w:t xml:space="preserve"> if these are carried out under the supervision of the regulatory body. The regulatory body shall intervene if negotiations are likely to contravene the requirements of this Directive.</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5.      The regulatory body shall be required to decide on any complaints and take action to remedy the situation within a maximum period of two months from receipt of all information.</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Notwithstanding paragraph 6, a decision of the regulatory body shall be binding on all parties covered by that decision.</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6.      Member States shall take the measures necessary to ensure that decisions taken by the regulatory body are subject to judicial review.’</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13</w:t>
      </w:r>
      <w:r w:rsidRPr="00C9365D">
        <w:rPr>
          <w:rFonts w:ascii="Arial" w:eastAsia="Times New Roman" w:hAnsi="Arial" w:cs="Arial"/>
          <w:color w:val="000000"/>
          <w:sz w:val="18"/>
          <w:szCs w:val="18"/>
          <w:lang w:val="en-US" w:eastAsia="fr-FR"/>
        </w:rPr>
        <w:t xml:space="preserve">      Point 2 of Annex II to that directive </w:t>
      </w:r>
      <w:proofErr w:type="gramStart"/>
      <w:r w:rsidRPr="00C9365D">
        <w:rPr>
          <w:rFonts w:ascii="Arial" w:eastAsia="Times New Roman" w:hAnsi="Arial" w:cs="Arial"/>
          <w:color w:val="000000"/>
          <w:sz w:val="18"/>
          <w:szCs w:val="18"/>
          <w:lang w:val="en-US" w:eastAsia="fr-FR"/>
        </w:rPr>
        <w:t>was worded</w:t>
      </w:r>
      <w:proofErr w:type="gramEnd"/>
      <w:r w:rsidRPr="00C9365D">
        <w:rPr>
          <w:rFonts w:ascii="Arial" w:eastAsia="Times New Roman" w:hAnsi="Arial" w:cs="Arial"/>
          <w:color w:val="000000"/>
          <w:sz w:val="18"/>
          <w:szCs w:val="18"/>
          <w:lang w:val="en-US" w:eastAsia="fr-FR"/>
        </w:rPr>
        <w:t xml:space="preserve"> as follows: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‘Track access to services facilities and supply of services shall comprise:</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(c)      </w:t>
      </w:r>
      <w:proofErr w:type="gramStart"/>
      <w:r w:rsidRPr="00C9365D">
        <w:rPr>
          <w:rFonts w:ascii="Arial" w:eastAsia="Times New Roman" w:hAnsi="Arial" w:cs="Arial"/>
          <w:color w:val="000000"/>
          <w:sz w:val="18"/>
          <w:szCs w:val="18"/>
          <w:lang w:val="en-US" w:eastAsia="fr-FR"/>
        </w:rPr>
        <w:t>passenger</w:t>
      </w:r>
      <w:proofErr w:type="gramEnd"/>
      <w:r w:rsidRPr="00C9365D">
        <w:rPr>
          <w:rFonts w:ascii="Arial" w:eastAsia="Times New Roman" w:hAnsi="Arial" w:cs="Arial"/>
          <w:color w:val="000000"/>
          <w:sz w:val="18"/>
          <w:szCs w:val="18"/>
          <w:lang w:val="en-US" w:eastAsia="fr-FR"/>
        </w:rPr>
        <w:t xml:space="preserve"> stations, their buildings and other facilities;</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r w:rsidRPr="00C9365D">
        <w:rPr>
          <w:rFonts w:ascii="Arial" w:eastAsia="Times New Roman" w:hAnsi="Arial" w:cs="Arial"/>
          <w:i/>
          <w:iCs/>
          <w:color w:val="000000"/>
          <w:sz w:val="18"/>
          <w:szCs w:val="18"/>
          <w:lang w:val="en-US" w:eastAsia="fr-FR"/>
        </w:rPr>
        <w:t>Directive 2012/34/EU</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14</w:t>
      </w:r>
      <w:r w:rsidRPr="00C9365D">
        <w:rPr>
          <w:rFonts w:ascii="Arial" w:eastAsia="Times New Roman" w:hAnsi="Arial" w:cs="Arial"/>
          <w:color w:val="000000"/>
          <w:sz w:val="18"/>
          <w:szCs w:val="18"/>
          <w:lang w:val="en-US" w:eastAsia="fr-FR"/>
        </w:rPr>
        <w:t>      Article 55(1) of Directive 2012/34/EU of the European Parliament and of the Council of 21 November 2012 establishing a single European railway area (OJ 2012 L 343, p. 32) provides: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‘Each Member State shall establish a single national regulatory body for the railway sector. Without prejudice to paragraph 2, this body shall be a stand-alone </w:t>
      </w:r>
      <w:proofErr w:type="gramStart"/>
      <w:r w:rsidRPr="00C9365D">
        <w:rPr>
          <w:rFonts w:ascii="Arial" w:eastAsia="Times New Roman" w:hAnsi="Arial" w:cs="Arial"/>
          <w:color w:val="000000"/>
          <w:sz w:val="18"/>
          <w:szCs w:val="18"/>
          <w:lang w:val="en-US" w:eastAsia="fr-FR"/>
        </w:rPr>
        <w:t>authority which</w:t>
      </w:r>
      <w:proofErr w:type="gramEnd"/>
      <w:r w:rsidRPr="00C9365D">
        <w:rPr>
          <w:rFonts w:ascii="Arial" w:eastAsia="Times New Roman" w:hAnsi="Arial" w:cs="Arial"/>
          <w:color w:val="000000"/>
          <w:sz w:val="18"/>
          <w:szCs w:val="18"/>
          <w:lang w:val="en-US" w:eastAsia="fr-FR"/>
        </w:rPr>
        <w:t xml:space="preserve"> is, in </w:t>
      </w:r>
      <w:proofErr w:type="spellStart"/>
      <w:r w:rsidRPr="00C9365D">
        <w:rPr>
          <w:rFonts w:ascii="Arial" w:eastAsia="Times New Roman" w:hAnsi="Arial" w:cs="Arial"/>
          <w:color w:val="000000"/>
          <w:sz w:val="18"/>
          <w:szCs w:val="18"/>
          <w:lang w:val="en-US" w:eastAsia="fr-FR"/>
        </w:rPr>
        <w:t>organisational</w:t>
      </w:r>
      <w:proofErr w:type="spellEnd"/>
      <w:r w:rsidRPr="00C9365D">
        <w:rPr>
          <w:rFonts w:ascii="Arial" w:eastAsia="Times New Roman" w:hAnsi="Arial" w:cs="Arial"/>
          <w:color w:val="000000"/>
          <w:sz w:val="18"/>
          <w:szCs w:val="18"/>
          <w:lang w:val="en-US" w:eastAsia="fr-FR"/>
        </w:rPr>
        <w:t xml:space="preserve">, functional, hierarchical and decision-making terms, legally distinct and independent from any other public or private entity. It shall also be independent in its </w:t>
      </w:r>
      <w:proofErr w:type="spellStart"/>
      <w:r w:rsidRPr="00C9365D">
        <w:rPr>
          <w:rFonts w:ascii="Arial" w:eastAsia="Times New Roman" w:hAnsi="Arial" w:cs="Arial"/>
          <w:color w:val="000000"/>
          <w:sz w:val="18"/>
          <w:szCs w:val="18"/>
          <w:lang w:val="en-US" w:eastAsia="fr-FR"/>
        </w:rPr>
        <w:t>organisation</w:t>
      </w:r>
      <w:proofErr w:type="spellEnd"/>
      <w:r w:rsidRPr="00C9365D">
        <w:rPr>
          <w:rFonts w:ascii="Arial" w:eastAsia="Times New Roman" w:hAnsi="Arial" w:cs="Arial"/>
          <w:color w:val="000000"/>
          <w:sz w:val="18"/>
          <w:szCs w:val="18"/>
          <w:lang w:val="en-US" w:eastAsia="fr-FR"/>
        </w:rPr>
        <w:t>, funding decisions, legal structure and decision-making from any infrastructure manager, charging body, allocation body or applicant. It shall furthermore be functionally independent from any competent authority involved in the award of a public service contract.’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15</w:t>
      </w:r>
      <w:r w:rsidRPr="00C9365D">
        <w:rPr>
          <w:rFonts w:ascii="Arial" w:eastAsia="Times New Roman" w:hAnsi="Arial" w:cs="Arial"/>
          <w:color w:val="000000"/>
          <w:sz w:val="18"/>
          <w:szCs w:val="18"/>
          <w:lang w:val="en-US" w:eastAsia="fr-FR"/>
        </w:rPr>
        <w:t xml:space="preserve">      Article 56 of that directive, entitled ‘Functions of the regulatory </w:t>
      </w:r>
      <w:proofErr w:type="gramStart"/>
      <w:r w:rsidRPr="00C9365D">
        <w:rPr>
          <w:rFonts w:ascii="Arial" w:eastAsia="Times New Roman" w:hAnsi="Arial" w:cs="Arial"/>
          <w:color w:val="000000"/>
          <w:sz w:val="18"/>
          <w:szCs w:val="18"/>
          <w:lang w:val="en-US" w:eastAsia="fr-FR"/>
        </w:rPr>
        <w:t>body’,</w:t>
      </w:r>
      <w:proofErr w:type="gramEnd"/>
      <w:r w:rsidRPr="00C9365D">
        <w:rPr>
          <w:rFonts w:ascii="Arial" w:eastAsia="Times New Roman" w:hAnsi="Arial" w:cs="Arial"/>
          <w:color w:val="000000"/>
          <w:sz w:val="18"/>
          <w:szCs w:val="18"/>
          <w:lang w:val="en-US" w:eastAsia="fr-FR"/>
        </w:rPr>
        <w:t xml:space="preserve"> provides: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‘1.      Without prejudice to Article 46(6), an applicant shall have the right to appeal to the regulatory body if it believes that it has been unfairly treated, discriminated against or is in any other way aggrieved, and in particular against decisions adopted by the infrastructure manager or where appropriate the railway undertaking or the operator of a service facility concerning:</w:t>
      </w:r>
      <w:proofErr w:type="gramEnd"/>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(a)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network statement in its provisional and final versions;</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(d)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charging scheme;</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(e)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level or structure of infrastructure usage charges which it is, or may be, required to pay;</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(g)      </w:t>
      </w:r>
      <w:proofErr w:type="gramStart"/>
      <w:r w:rsidRPr="00C9365D">
        <w:rPr>
          <w:rFonts w:ascii="Arial" w:eastAsia="Times New Roman" w:hAnsi="Arial" w:cs="Arial"/>
          <w:color w:val="000000"/>
          <w:sz w:val="18"/>
          <w:szCs w:val="18"/>
          <w:lang w:val="en-US" w:eastAsia="fr-FR"/>
        </w:rPr>
        <w:t>access</w:t>
      </w:r>
      <w:proofErr w:type="gramEnd"/>
      <w:r w:rsidRPr="00C9365D">
        <w:rPr>
          <w:rFonts w:ascii="Arial" w:eastAsia="Times New Roman" w:hAnsi="Arial" w:cs="Arial"/>
          <w:color w:val="000000"/>
          <w:sz w:val="18"/>
          <w:szCs w:val="18"/>
          <w:lang w:val="en-US" w:eastAsia="fr-FR"/>
        </w:rPr>
        <w:t xml:space="preserve"> to and charging for services in accordance with Article 13.</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 xml:space="preserve">2.      Without prejudice to the powers of the national competition authorities for securing competition in the rail services markets, the regulatory body shall have the power to monitor the competitive situation in the rail services markets and shall, in particular, control points (a) to (g) of paragraph 1 on its own initiative and with </w:t>
      </w:r>
      <w:r w:rsidRPr="00C9365D">
        <w:rPr>
          <w:rFonts w:ascii="Arial" w:eastAsia="Times New Roman" w:hAnsi="Arial" w:cs="Arial"/>
          <w:color w:val="000000"/>
          <w:sz w:val="18"/>
          <w:szCs w:val="18"/>
          <w:lang w:val="en-US" w:eastAsia="fr-FR"/>
        </w:rPr>
        <w:lastRenderedPageBreak/>
        <w:t>a view to preventing discrimination against applicants.</w:t>
      </w:r>
      <w:proofErr w:type="gramEnd"/>
      <w:r w:rsidRPr="00C9365D">
        <w:rPr>
          <w:rFonts w:ascii="Arial" w:eastAsia="Times New Roman" w:hAnsi="Arial" w:cs="Arial"/>
          <w:color w:val="000000"/>
          <w:sz w:val="18"/>
          <w:szCs w:val="18"/>
          <w:lang w:val="en-US" w:eastAsia="fr-FR"/>
        </w:rPr>
        <w:t xml:space="preserve"> It </w:t>
      </w:r>
      <w:proofErr w:type="gramStart"/>
      <w:r w:rsidRPr="00C9365D">
        <w:rPr>
          <w:rFonts w:ascii="Arial" w:eastAsia="Times New Roman" w:hAnsi="Arial" w:cs="Arial"/>
          <w:color w:val="000000"/>
          <w:sz w:val="18"/>
          <w:szCs w:val="18"/>
          <w:lang w:val="en-US" w:eastAsia="fr-FR"/>
        </w:rPr>
        <w:t>shall, in particular, check</w:t>
      </w:r>
      <w:proofErr w:type="gramEnd"/>
      <w:r w:rsidRPr="00C9365D">
        <w:rPr>
          <w:rFonts w:ascii="Arial" w:eastAsia="Times New Roman" w:hAnsi="Arial" w:cs="Arial"/>
          <w:color w:val="000000"/>
          <w:sz w:val="18"/>
          <w:szCs w:val="18"/>
          <w:lang w:val="en-US" w:eastAsia="fr-FR"/>
        </w:rPr>
        <w:t xml:space="preserve"> whether the network statement contains discriminatory clauses or creates discretionary powers for the infrastructure manager that may be used to discriminate against applicants.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6.      The regulatory body shall ensure that charges set by the infrastructure manager comply with Section 2 of Chapter IV and are non-discriminatory. …</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9.      The regulatory body shall consider any complaints and, as appropriate, shall ask for relevant information and initiate consultations with all relevant parties, within one month from the receipt of the complaint. It shall decide on any complaints, take action to remedy the situation and inform the relevant parties of its reasoned decision within a pre-determined, reasonable time, and, in any case, within six weeks from receipt of all relevant information. Without prejudice to the powers of the national competition authorities for securing competition in the rail service markets, the regulatory body shall, where appropriate, decide on its own initiative on appropriate measures to correct discrimination against applicants, market distortion and any other undesirable developments in these markets, in particular with reference to points (a) to (g) of paragraph 1.</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A decision of the regulatory body shall be binding on all parties covered by that decision, and shall not be subject to the control of another administrative instance. The regulatory body shall be able to enforce its decisions with the appropriate penalties, including fines.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r w:rsidRPr="00C9365D">
        <w:rPr>
          <w:rFonts w:ascii="Arial" w:eastAsia="Times New Roman" w:hAnsi="Arial" w:cs="Arial"/>
          <w:i/>
          <w:iCs/>
          <w:color w:val="000000"/>
          <w:sz w:val="18"/>
          <w:szCs w:val="18"/>
          <w:lang w:val="en-US" w:eastAsia="fr-FR"/>
        </w:rPr>
        <w:t>Regulation (EC) No 1/2003</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16</w:t>
      </w:r>
      <w:r w:rsidRPr="00C9365D">
        <w:rPr>
          <w:rFonts w:ascii="Arial" w:eastAsia="Times New Roman" w:hAnsi="Arial" w:cs="Arial"/>
          <w:color w:val="000000"/>
          <w:sz w:val="18"/>
          <w:szCs w:val="18"/>
          <w:lang w:val="en-US" w:eastAsia="fr-FR"/>
        </w:rPr>
        <w:t>      Article 3(1) of Council Regulation (EC) No 1/2003 of 16 December 2002 on the implementation of the rules on competition laid down in Articles [101 and 102 TFEU] (OJ 2003 L 1, p. 1) is worded as follows: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‘Where the competition authorities of the Member States or national courts apply national competition law to agreements, decisions by associations of undertakings or concerted practices within the meaning of Article [101(1) TFEU] which may affect trade between Member States within the meaning of that provision, they shall also apply Article [101 TFEU] to such agreements, decisions or concerted practices. Where the competition authorities of the Member States or national courts apply national competition law to any abuse prohibited by Article [102 TFEU], they shall also apply Article [102 TFEU].’</w:t>
      </w:r>
    </w:p>
    <w:p w:rsidR="00C9365D" w:rsidRPr="00C9365D" w:rsidRDefault="00C9365D" w:rsidP="00C9365D">
      <w:pPr>
        <w:spacing w:after="240" w:line="240" w:lineRule="auto"/>
        <w:ind w:left="567"/>
        <w:jc w:val="both"/>
        <w:rPr>
          <w:rFonts w:ascii="Arial" w:eastAsia="Times New Roman" w:hAnsi="Arial" w:cs="Arial"/>
          <w:i/>
          <w:iCs/>
          <w:color w:val="000000"/>
          <w:sz w:val="18"/>
          <w:szCs w:val="18"/>
          <w:lang w:val="en-US" w:eastAsia="fr-FR"/>
        </w:rPr>
      </w:pPr>
      <w:r w:rsidRPr="00C9365D">
        <w:rPr>
          <w:rFonts w:ascii="Arial" w:eastAsia="Times New Roman" w:hAnsi="Arial" w:cs="Arial"/>
          <w:i/>
          <w:iCs/>
          <w:color w:val="000000"/>
          <w:sz w:val="18"/>
          <w:szCs w:val="18"/>
          <w:lang w:val="en-US" w:eastAsia="fr-FR"/>
        </w:rPr>
        <w:t> </w:t>
      </w:r>
      <w:r w:rsidRPr="00C9365D">
        <w:rPr>
          <w:rFonts w:ascii="Arial" w:eastAsia="Times New Roman" w:hAnsi="Arial" w:cs="Arial"/>
          <w:b/>
          <w:bCs/>
          <w:i/>
          <w:iCs/>
          <w:color w:val="000000"/>
          <w:sz w:val="18"/>
          <w:szCs w:val="18"/>
          <w:lang w:val="en-US" w:eastAsia="fr-FR"/>
        </w:rPr>
        <w:t>German law</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17</w:t>
      </w:r>
      <w:r w:rsidRPr="00C9365D">
        <w:rPr>
          <w:rFonts w:ascii="Arial" w:eastAsia="Times New Roman" w:hAnsi="Arial" w:cs="Arial"/>
          <w:color w:val="000000"/>
          <w:sz w:val="18"/>
          <w:szCs w:val="18"/>
          <w:lang w:val="en-US" w:eastAsia="fr-FR"/>
        </w:rPr>
        <w:t xml:space="preserve">      The </w:t>
      </w:r>
      <w:proofErr w:type="spellStart"/>
      <w:r w:rsidRPr="00C9365D">
        <w:rPr>
          <w:rFonts w:ascii="Arial" w:eastAsia="Times New Roman" w:hAnsi="Arial" w:cs="Arial"/>
          <w:color w:val="000000"/>
          <w:sz w:val="18"/>
          <w:szCs w:val="18"/>
          <w:lang w:val="en-US" w:eastAsia="fr-FR"/>
        </w:rPr>
        <w:t>Allgemeines</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Eisenbahngesetz</w:t>
      </w:r>
      <w:proofErr w:type="spellEnd"/>
      <w:r w:rsidRPr="00C9365D">
        <w:rPr>
          <w:rFonts w:ascii="Arial" w:eastAsia="Times New Roman" w:hAnsi="Arial" w:cs="Arial"/>
          <w:color w:val="000000"/>
          <w:sz w:val="18"/>
          <w:szCs w:val="18"/>
          <w:lang w:val="en-US" w:eastAsia="fr-FR"/>
        </w:rPr>
        <w:t xml:space="preserve"> (General Law on Railways), as amended by the </w:t>
      </w:r>
      <w:proofErr w:type="spellStart"/>
      <w:r w:rsidRPr="00C9365D">
        <w:rPr>
          <w:rFonts w:ascii="Arial" w:eastAsia="Times New Roman" w:hAnsi="Arial" w:cs="Arial"/>
          <w:color w:val="000000"/>
          <w:sz w:val="18"/>
          <w:szCs w:val="18"/>
          <w:lang w:val="en-US" w:eastAsia="fr-FR"/>
        </w:rPr>
        <w:t>Drittes</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Gesetz</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zur</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Änderung</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eisenbahnrechtlicher</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Vorschriften</w:t>
      </w:r>
      <w:proofErr w:type="spellEnd"/>
      <w:r w:rsidRPr="00C9365D">
        <w:rPr>
          <w:rFonts w:ascii="Arial" w:eastAsia="Times New Roman" w:hAnsi="Arial" w:cs="Arial"/>
          <w:color w:val="000000"/>
          <w:sz w:val="18"/>
          <w:szCs w:val="18"/>
          <w:lang w:val="en-US" w:eastAsia="fr-FR"/>
        </w:rPr>
        <w:t xml:space="preserve"> (Third Law amending the provisions of the law on railways), of 27 April 2005 (</w:t>
      </w:r>
      <w:proofErr w:type="spellStart"/>
      <w:r w:rsidRPr="00C9365D">
        <w:rPr>
          <w:rFonts w:ascii="Arial" w:eastAsia="Times New Roman" w:hAnsi="Arial" w:cs="Arial"/>
          <w:color w:val="000000"/>
          <w:sz w:val="18"/>
          <w:szCs w:val="18"/>
          <w:lang w:val="en-US" w:eastAsia="fr-FR"/>
        </w:rPr>
        <w:t>BGBl</w:t>
      </w:r>
      <w:proofErr w:type="spellEnd"/>
      <w:r w:rsidRPr="00C9365D">
        <w:rPr>
          <w:rFonts w:ascii="Arial" w:eastAsia="Times New Roman" w:hAnsi="Arial" w:cs="Arial"/>
          <w:color w:val="000000"/>
          <w:sz w:val="18"/>
          <w:szCs w:val="18"/>
          <w:lang w:val="en-US" w:eastAsia="fr-FR"/>
        </w:rPr>
        <w:t>. 2005 I, p. 1138), in the version applicable until 1 September 2016 (‘the AEG’), provided, in Paragraph 14b thereof:</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      The role of the regulatory body is to monitor compliance with the provisions of the railway legislation governing access to the railway infrastructure, in particular as regards</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4.      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conditions of use, the principles of charging and the amounts of the charges.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(2)      This is without prejudice to the tasks and powers of the competition authorities provided for by the [</w:t>
      </w:r>
      <w:proofErr w:type="spellStart"/>
      <w:r w:rsidRPr="00C9365D">
        <w:rPr>
          <w:rFonts w:ascii="Arial" w:eastAsia="Times New Roman" w:hAnsi="Arial" w:cs="Arial"/>
          <w:color w:val="000000"/>
          <w:sz w:val="18"/>
          <w:szCs w:val="18"/>
          <w:lang w:val="en-US" w:eastAsia="fr-FR"/>
        </w:rPr>
        <w:t>Gesetz</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gegen</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Wettbewerbsbeschränkungen</w:t>
      </w:r>
      <w:proofErr w:type="spellEnd"/>
      <w:r w:rsidRPr="00C9365D">
        <w:rPr>
          <w:rFonts w:ascii="Arial" w:eastAsia="Times New Roman" w:hAnsi="Arial" w:cs="Arial"/>
          <w:color w:val="000000"/>
          <w:sz w:val="18"/>
          <w:szCs w:val="18"/>
          <w:lang w:val="en-US" w:eastAsia="fr-FR"/>
        </w:rPr>
        <w:t xml:space="preserve"> (Law against restrictions of competition)]. The regulatory body and the railway supervisory authorities, as well as the competition authorities and the competent regulatory bodies under the [</w:t>
      </w:r>
      <w:proofErr w:type="spellStart"/>
      <w:r w:rsidRPr="00C9365D">
        <w:rPr>
          <w:rFonts w:ascii="Arial" w:eastAsia="Times New Roman" w:hAnsi="Arial" w:cs="Arial"/>
          <w:color w:val="000000"/>
          <w:sz w:val="18"/>
          <w:szCs w:val="18"/>
          <w:lang w:val="en-US" w:eastAsia="fr-FR"/>
        </w:rPr>
        <w:t>Telekommunikationsgesetz</w:t>
      </w:r>
      <w:proofErr w:type="spellEnd"/>
      <w:r w:rsidRPr="00C9365D">
        <w:rPr>
          <w:rFonts w:ascii="Arial" w:eastAsia="Times New Roman" w:hAnsi="Arial" w:cs="Arial"/>
          <w:color w:val="000000"/>
          <w:sz w:val="18"/>
          <w:szCs w:val="18"/>
          <w:lang w:val="en-US" w:eastAsia="fr-FR"/>
        </w:rPr>
        <w:t xml:space="preserve"> (Law on Telecommunications)] and the [</w:t>
      </w:r>
      <w:proofErr w:type="spellStart"/>
      <w:r w:rsidRPr="00C9365D">
        <w:rPr>
          <w:rFonts w:ascii="Arial" w:eastAsia="Times New Roman" w:hAnsi="Arial" w:cs="Arial"/>
          <w:color w:val="000000"/>
          <w:sz w:val="18"/>
          <w:szCs w:val="18"/>
          <w:lang w:val="en-US" w:eastAsia="fr-FR"/>
        </w:rPr>
        <w:t>Energiewirtschaftsgesetz</w:t>
      </w:r>
      <w:proofErr w:type="spellEnd"/>
      <w:r w:rsidRPr="00C9365D">
        <w:rPr>
          <w:rFonts w:ascii="Arial" w:eastAsia="Times New Roman" w:hAnsi="Arial" w:cs="Arial"/>
          <w:color w:val="000000"/>
          <w:sz w:val="18"/>
          <w:szCs w:val="18"/>
          <w:lang w:val="en-US" w:eastAsia="fr-FR"/>
        </w:rPr>
        <w:t xml:space="preserve"> (Law on the management of energy)] shall exchange mutually information which may be relevant for the performance of their respective tasks. In particular, they must inform each other of proposed decisions to prohibit abusive or discriminatory conduct on the part of railway infrastructure undertakings. They must give each other the opportunity to submit observations before the procedure is closed by the competent authority.’</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18</w:t>
      </w:r>
      <w:r w:rsidRPr="00C9365D">
        <w:rPr>
          <w:rFonts w:ascii="Arial" w:eastAsia="Times New Roman" w:hAnsi="Arial" w:cs="Arial"/>
          <w:color w:val="000000"/>
          <w:sz w:val="18"/>
          <w:szCs w:val="18"/>
          <w:lang w:val="en-US" w:eastAsia="fr-FR"/>
        </w:rPr>
        <w:t>      Paragraph 14d of the AEG provided: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lastRenderedPageBreak/>
        <w:t>‘Public railway infrastructure undertakings shall inform the regulatory body of</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6.      the intended recasting or amendment of the conditions of use of the railway network and the conditions of use for service facilities, including the principles of charging and the amounts of charges respectively laid down.’</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19</w:t>
      </w:r>
      <w:r w:rsidRPr="00C9365D">
        <w:rPr>
          <w:rFonts w:ascii="Arial" w:eastAsia="Times New Roman" w:hAnsi="Arial" w:cs="Arial"/>
          <w:color w:val="000000"/>
          <w:sz w:val="18"/>
          <w:szCs w:val="18"/>
          <w:lang w:val="en-US" w:eastAsia="fr-FR"/>
        </w:rPr>
        <w:t>      Paragraph </w:t>
      </w:r>
      <w:proofErr w:type="gramStart"/>
      <w:r w:rsidRPr="00C9365D">
        <w:rPr>
          <w:rFonts w:ascii="Arial" w:eastAsia="Times New Roman" w:hAnsi="Arial" w:cs="Arial"/>
          <w:color w:val="000000"/>
          <w:sz w:val="18"/>
          <w:szCs w:val="18"/>
          <w:lang w:val="en-US" w:eastAsia="fr-FR"/>
        </w:rPr>
        <w:t>14e(</w:t>
      </w:r>
      <w:proofErr w:type="gramEnd"/>
      <w:r w:rsidRPr="00C9365D">
        <w:rPr>
          <w:rFonts w:ascii="Arial" w:eastAsia="Times New Roman" w:hAnsi="Arial" w:cs="Arial"/>
          <w:color w:val="000000"/>
          <w:sz w:val="18"/>
          <w:szCs w:val="18"/>
          <w:lang w:val="en-US" w:eastAsia="fr-FR"/>
        </w:rPr>
        <w:t>1) of that law provided: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‘The regulatory body may, after receipt of the information referred to in Paragraph 14d, within</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4.      four weeks, object to the proposed recast or amendment referred to in point </w:t>
      </w:r>
      <w:proofErr w:type="gramStart"/>
      <w:r w:rsidRPr="00C9365D">
        <w:rPr>
          <w:rFonts w:ascii="Arial" w:eastAsia="Times New Roman" w:hAnsi="Arial" w:cs="Arial"/>
          <w:color w:val="000000"/>
          <w:sz w:val="18"/>
          <w:szCs w:val="18"/>
          <w:lang w:val="en-US" w:eastAsia="fr-FR"/>
        </w:rPr>
        <w:t>6</w:t>
      </w:r>
      <w:proofErr w:type="gramEnd"/>
      <w:r w:rsidRPr="00C9365D">
        <w:rPr>
          <w:rFonts w:ascii="Arial" w:eastAsia="Times New Roman" w:hAnsi="Arial" w:cs="Arial"/>
          <w:color w:val="000000"/>
          <w:sz w:val="18"/>
          <w:szCs w:val="18"/>
          <w:lang w:val="en-US" w:eastAsia="fr-FR"/>
        </w:rPr>
        <w:t xml:space="preserve"> of the first sentence of Paragraph 14d,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in</w:t>
      </w:r>
      <w:proofErr w:type="gramEnd"/>
      <w:r w:rsidRPr="00C9365D">
        <w:rPr>
          <w:rFonts w:ascii="Arial" w:eastAsia="Times New Roman" w:hAnsi="Arial" w:cs="Arial"/>
          <w:color w:val="000000"/>
          <w:sz w:val="18"/>
          <w:szCs w:val="18"/>
          <w:lang w:val="en-US" w:eastAsia="fr-FR"/>
        </w:rPr>
        <w:t xml:space="preserve"> so far as the envisaged decisions infringe the provisions of the railway legislation on access to the railway infrastructure.’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20</w:t>
      </w:r>
      <w:r w:rsidRPr="00C9365D">
        <w:rPr>
          <w:rFonts w:ascii="Arial" w:eastAsia="Times New Roman" w:hAnsi="Arial" w:cs="Arial"/>
          <w:color w:val="000000"/>
          <w:sz w:val="18"/>
          <w:szCs w:val="18"/>
          <w:lang w:val="en-US" w:eastAsia="fr-FR"/>
        </w:rPr>
        <w:t xml:space="preserve">      Paragraph 14f of the AEG </w:t>
      </w:r>
      <w:proofErr w:type="gramStart"/>
      <w:r w:rsidRPr="00C9365D">
        <w:rPr>
          <w:rFonts w:ascii="Arial" w:eastAsia="Times New Roman" w:hAnsi="Arial" w:cs="Arial"/>
          <w:color w:val="000000"/>
          <w:sz w:val="18"/>
          <w:szCs w:val="18"/>
          <w:lang w:val="en-US" w:eastAsia="fr-FR"/>
        </w:rPr>
        <w:t>was worded</w:t>
      </w:r>
      <w:proofErr w:type="gramEnd"/>
      <w:r w:rsidRPr="00C9365D">
        <w:rPr>
          <w:rFonts w:ascii="Arial" w:eastAsia="Times New Roman" w:hAnsi="Arial" w:cs="Arial"/>
          <w:color w:val="000000"/>
          <w:sz w:val="18"/>
          <w:szCs w:val="18"/>
          <w:lang w:val="en-US" w:eastAsia="fr-FR"/>
        </w:rPr>
        <w:t xml:space="preserve"> as follows: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regulatory body may verify of its own motion</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2.      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provisions concerning the amount or structure of infrastructure charges and other charges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of</w:t>
      </w:r>
      <w:proofErr w:type="gramEnd"/>
      <w:r w:rsidRPr="00C9365D">
        <w:rPr>
          <w:rFonts w:ascii="Arial" w:eastAsia="Times New Roman" w:hAnsi="Arial" w:cs="Arial"/>
          <w:color w:val="000000"/>
          <w:sz w:val="18"/>
          <w:szCs w:val="18"/>
          <w:lang w:val="en-US" w:eastAsia="fr-FR"/>
        </w:rPr>
        <w:t xml:space="preserve"> a railway infrastructure undertaking. The regulatory body may, with prospective effect,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      require the railway infrastructure undertakings to amend, in accordance with its indications, the conditions referred to in point 1 of the first sentence, or the charging schemes referred to in point 2 of the first sentence, or</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2.      declare invalid the conditions referred to in point 1 of the first sentence, or the charging schemes referred to in point 2 of the first sentence,</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in</w:t>
      </w:r>
      <w:proofErr w:type="gramEnd"/>
      <w:r w:rsidRPr="00C9365D">
        <w:rPr>
          <w:rFonts w:ascii="Arial" w:eastAsia="Times New Roman" w:hAnsi="Arial" w:cs="Arial"/>
          <w:color w:val="000000"/>
          <w:sz w:val="18"/>
          <w:szCs w:val="18"/>
          <w:lang w:val="en-US" w:eastAsia="fr-FR"/>
        </w:rPr>
        <w:t xml:space="preserve"> so far as they infringe the provisions of the railway legislation on access to the railway infrastructure.</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(2)      If no agreement on access referred to in Paragraph 14(6) or a framework agreement referred to in Paragraph 14a is concluded, the </w:t>
      </w:r>
      <w:proofErr w:type="gramStart"/>
      <w:r w:rsidRPr="00C9365D">
        <w:rPr>
          <w:rFonts w:ascii="Arial" w:eastAsia="Times New Roman" w:hAnsi="Arial" w:cs="Arial"/>
          <w:color w:val="000000"/>
          <w:sz w:val="18"/>
          <w:szCs w:val="18"/>
          <w:lang w:val="en-US" w:eastAsia="fr-FR"/>
        </w:rPr>
        <w:t>decisions of the railway infrastructure undertaking may be verified by the regulatory body on request or on its own initiative</w:t>
      </w:r>
      <w:proofErr w:type="gramEnd"/>
      <w:r w:rsidRPr="00C9365D">
        <w:rPr>
          <w:rFonts w:ascii="Arial" w:eastAsia="Times New Roman" w:hAnsi="Arial" w:cs="Arial"/>
          <w:color w:val="000000"/>
          <w:sz w:val="18"/>
          <w:szCs w:val="18"/>
          <w:lang w:val="en-US" w:eastAsia="fr-FR"/>
        </w:rPr>
        <w:t xml:space="preserve">. Holders of access </w:t>
      </w:r>
      <w:proofErr w:type="spellStart"/>
      <w:r w:rsidRPr="00C9365D">
        <w:rPr>
          <w:rFonts w:ascii="Arial" w:eastAsia="Times New Roman" w:hAnsi="Arial" w:cs="Arial"/>
          <w:color w:val="000000"/>
          <w:sz w:val="18"/>
          <w:szCs w:val="18"/>
          <w:lang w:val="en-US" w:eastAsia="fr-FR"/>
        </w:rPr>
        <w:t>authorisations</w:t>
      </w:r>
      <w:proofErr w:type="spellEnd"/>
      <w:r w:rsidRPr="00C9365D">
        <w:rPr>
          <w:rFonts w:ascii="Arial" w:eastAsia="Times New Roman" w:hAnsi="Arial" w:cs="Arial"/>
          <w:color w:val="000000"/>
          <w:sz w:val="18"/>
          <w:szCs w:val="18"/>
          <w:lang w:val="en-US" w:eastAsia="fr-FR"/>
        </w:rPr>
        <w:t xml:space="preserve"> whose right of access to the railway infrastructure may be affected shall be entitled to make such a request. The request </w:t>
      </w:r>
      <w:proofErr w:type="gramStart"/>
      <w:r w:rsidRPr="00C9365D">
        <w:rPr>
          <w:rFonts w:ascii="Arial" w:eastAsia="Times New Roman" w:hAnsi="Arial" w:cs="Arial"/>
          <w:color w:val="000000"/>
          <w:sz w:val="18"/>
          <w:szCs w:val="18"/>
          <w:lang w:val="en-US" w:eastAsia="fr-FR"/>
        </w:rPr>
        <w:t>must be submitted</w:t>
      </w:r>
      <w:proofErr w:type="gramEnd"/>
      <w:r w:rsidRPr="00C9365D">
        <w:rPr>
          <w:rFonts w:ascii="Arial" w:eastAsia="Times New Roman" w:hAnsi="Arial" w:cs="Arial"/>
          <w:color w:val="000000"/>
          <w:sz w:val="18"/>
          <w:szCs w:val="18"/>
          <w:lang w:val="en-US" w:eastAsia="fr-FR"/>
        </w:rPr>
        <w:t xml:space="preserve"> within the period within which the proposal for the conclusion of agreements referred to in the first sentence may be accepted. The review may relate in particular to the following:</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3.      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amount and structure of the infrastructure charges and other charges.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xml:space="preserve">The regulatory body must request the parties to provide all relevant information within a reasonable </w:t>
      </w:r>
      <w:proofErr w:type="gramStart"/>
      <w:r w:rsidRPr="00C9365D">
        <w:rPr>
          <w:rFonts w:ascii="Arial" w:eastAsia="Times New Roman" w:hAnsi="Arial" w:cs="Arial"/>
          <w:color w:val="000000"/>
          <w:sz w:val="18"/>
          <w:szCs w:val="18"/>
          <w:lang w:val="en-US" w:eastAsia="fr-FR"/>
        </w:rPr>
        <w:t>period which</w:t>
      </w:r>
      <w:proofErr w:type="gramEnd"/>
      <w:r w:rsidRPr="00C9365D">
        <w:rPr>
          <w:rFonts w:ascii="Arial" w:eastAsia="Times New Roman" w:hAnsi="Arial" w:cs="Arial"/>
          <w:color w:val="000000"/>
          <w:sz w:val="18"/>
          <w:szCs w:val="18"/>
          <w:lang w:val="en-US" w:eastAsia="fr-FR"/>
        </w:rPr>
        <w:t xml:space="preserve"> may not exceed two weeks. On expiry of that period, the regulatory body shall decide on the request within two months.</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(3)      If, in the situation referred to in subparagraph 2, the decision of a railway infrastructure undertaking adversely affects the right of the applicant for access to the railway infrastructure,</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1.      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regulatory body shall require the railway infrastructure undertaking to amend the decision; or</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2.      </w:t>
      </w:r>
      <w:proofErr w:type="gramStart"/>
      <w:r w:rsidRPr="00C9365D">
        <w:rPr>
          <w:rFonts w:ascii="Arial" w:eastAsia="Times New Roman" w:hAnsi="Arial" w:cs="Arial"/>
          <w:color w:val="000000"/>
          <w:sz w:val="18"/>
          <w:szCs w:val="18"/>
          <w:lang w:val="en-US" w:eastAsia="fr-FR"/>
        </w:rPr>
        <w:t>the</w:t>
      </w:r>
      <w:proofErr w:type="gramEnd"/>
      <w:r w:rsidRPr="00C9365D">
        <w:rPr>
          <w:rFonts w:ascii="Arial" w:eastAsia="Times New Roman" w:hAnsi="Arial" w:cs="Arial"/>
          <w:color w:val="000000"/>
          <w:sz w:val="18"/>
          <w:szCs w:val="18"/>
          <w:lang w:val="en-US" w:eastAsia="fr-FR"/>
        </w:rPr>
        <w:t xml:space="preserve"> regulatory body shall lay down the contractual terms, give a ruling on the validity of the contract and declare contracts which are not in conformity to be unenforceable.’</w:t>
      </w:r>
    </w:p>
    <w:p w:rsidR="00C9365D" w:rsidRPr="00C9365D" w:rsidRDefault="00C9365D" w:rsidP="00C9365D">
      <w:pPr>
        <w:spacing w:before="480" w:after="240" w:line="240" w:lineRule="auto"/>
        <w:ind w:left="567"/>
        <w:jc w:val="both"/>
        <w:rPr>
          <w:rFonts w:ascii="Arial" w:eastAsia="Times New Roman" w:hAnsi="Arial" w:cs="Arial"/>
          <w:b/>
          <w:bCs/>
          <w:color w:val="000000"/>
          <w:sz w:val="18"/>
          <w:szCs w:val="18"/>
          <w:lang w:val="en-US" w:eastAsia="fr-FR"/>
        </w:rPr>
      </w:pPr>
      <w:r w:rsidRPr="00C9365D">
        <w:rPr>
          <w:rFonts w:ascii="Arial" w:eastAsia="Times New Roman" w:hAnsi="Arial" w:cs="Arial"/>
          <w:b/>
          <w:bCs/>
          <w:color w:val="000000"/>
          <w:sz w:val="18"/>
          <w:szCs w:val="18"/>
          <w:lang w:val="en-US" w:eastAsia="fr-FR"/>
        </w:rPr>
        <w:lastRenderedPageBreak/>
        <w:t> The dispute in the main proceedings and the questions referred for a preliminary ruling</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21</w:t>
      </w:r>
      <w:r w:rsidRPr="00C9365D">
        <w:rPr>
          <w:rFonts w:ascii="Arial" w:eastAsia="Times New Roman" w:hAnsi="Arial" w:cs="Arial"/>
          <w:color w:val="000000"/>
          <w:sz w:val="18"/>
          <w:szCs w:val="18"/>
          <w:lang w:val="en-US" w:eastAsia="fr-FR"/>
        </w:rPr>
        <w:t xml:space="preserve">      DB Station &amp; Service, a subsidiary of Deutsche </w:t>
      </w:r>
      <w:proofErr w:type="spellStart"/>
      <w:r w:rsidRPr="00C9365D">
        <w:rPr>
          <w:rFonts w:ascii="Arial" w:eastAsia="Times New Roman" w:hAnsi="Arial" w:cs="Arial"/>
          <w:color w:val="000000"/>
          <w:sz w:val="18"/>
          <w:szCs w:val="18"/>
          <w:lang w:val="en-US" w:eastAsia="fr-FR"/>
        </w:rPr>
        <w:t>Bahn</w:t>
      </w:r>
      <w:proofErr w:type="spellEnd"/>
      <w:r w:rsidRPr="00C9365D">
        <w:rPr>
          <w:rFonts w:ascii="Arial" w:eastAsia="Times New Roman" w:hAnsi="Arial" w:cs="Arial"/>
          <w:color w:val="000000"/>
          <w:sz w:val="18"/>
          <w:szCs w:val="18"/>
          <w:lang w:val="en-US" w:eastAsia="fr-FR"/>
        </w:rPr>
        <w:t xml:space="preserve"> AG, which itself is the incumbent railway operator in Germany, operates approximately 5 400 railway stations and hubs in that Member State. The conditions of use of those installations are determined in framework </w:t>
      </w:r>
      <w:proofErr w:type="gramStart"/>
      <w:r w:rsidRPr="00C9365D">
        <w:rPr>
          <w:rFonts w:ascii="Arial" w:eastAsia="Times New Roman" w:hAnsi="Arial" w:cs="Arial"/>
          <w:color w:val="000000"/>
          <w:sz w:val="18"/>
          <w:szCs w:val="18"/>
          <w:lang w:val="en-US" w:eastAsia="fr-FR"/>
        </w:rPr>
        <w:t>contracts which</w:t>
      </w:r>
      <w:proofErr w:type="gramEnd"/>
      <w:r w:rsidRPr="00C9365D">
        <w:rPr>
          <w:rFonts w:ascii="Arial" w:eastAsia="Times New Roman" w:hAnsi="Arial" w:cs="Arial"/>
          <w:color w:val="000000"/>
          <w:sz w:val="18"/>
          <w:szCs w:val="18"/>
          <w:lang w:val="en-US" w:eastAsia="fr-FR"/>
        </w:rPr>
        <w:t xml:space="preserve"> it enters into with railway undertakings. Under those conditions, the amount of the charges is to be determined </w:t>
      </w:r>
      <w:proofErr w:type="gramStart"/>
      <w:r w:rsidRPr="00C9365D">
        <w:rPr>
          <w:rFonts w:ascii="Arial" w:eastAsia="Times New Roman" w:hAnsi="Arial" w:cs="Arial"/>
          <w:color w:val="000000"/>
          <w:sz w:val="18"/>
          <w:szCs w:val="18"/>
          <w:lang w:val="en-US" w:eastAsia="fr-FR"/>
        </w:rPr>
        <w:t>on the basis of</w:t>
      </w:r>
      <w:proofErr w:type="gramEnd"/>
      <w:r w:rsidRPr="00C9365D">
        <w:rPr>
          <w:rFonts w:ascii="Arial" w:eastAsia="Times New Roman" w:hAnsi="Arial" w:cs="Arial"/>
          <w:color w:val="000000"/>
          <w:sz w:val="18"/>
          <w:szCs w:val="18"/>
          <w:lang w:val="en-US" w:eastAsia="fr-FR"/>
        </w:rPr>
        <w:t xml:space="preserve"> a scale drawn up by DB Station &amp; Service.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22</w:t>
      </w:r>
      <w:r w:rsidRPr="00C9365D">
        <w:rPr>
          <w:rFonts w:ascii="Arial" w:eastAsia="Times New Roman" w:hAnsi="Arial" w:cs="Arial"/>
          <w:color w:val="000000"/>
          <w:sz w:val="18"/>
          <w:szCs w:val="18"/>
          <w:lang w:val="en-US" w:eastAsia="fr-FR"/>
        </w:rPr>
        <w:t>      ODEG is a railway undertaking which uses the infrastructure of DB Station &amp; Service in the course of its short-distance passenger rail transport business. The two undertakings entered into a framework contract for that purpose.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23</w:t>
      </w:r>
      <w:r w:rsidRPr="00C9365D">
        <w:rPr>
          <w:rFonts w:ascii="Arial" w:eastAsia="Times New Roman" w:hAnsi="Arial" w:cs="Arial"/>
          <w:color w:val="000000"/>
          <w:sz w:val="18"/>
          <w:szCs w:val="18"/>
          <w:lang w:val="en-US" w:eastAsia="fr-FR"/>
        </w:rPr>
        <w:t xml:space="preserve">      On 1 January 2005, DB Station &amp; Service introduced a new price list, designated by the initials ‘SPS 05’. In ODEG’s case, that list resulted in an increase in the infrastructure charges, which it paid, without accepting that the increase </w:t>
      </w:r>
      <w:proofErr w:type="gramStart"/>
      <w:r w:rsidRPr="00C9365D">
        <w:rPr>
          <w:rFonts w:ascii="Arial" w:eastAsia="Times New Roman" w:hAnsi="Arial" w:cs="Arial"/>
          <w:color w:val="000000"/>
          <w:sz w:val="18"/>
          <w:szCs w:val="18"/>
          <w:lang w:val="en-US" w:eastAsia="fr-FR"/>
        </w:rPr>
        <w:t>was well founded</w:t>
      </w:r>
      <w:proofErr w:type="gramEnd"/>
      <w:r w:rsidRPr="00C9365D">
        <w:rPr>
          <w:rFonts w:ascii="Arial" w:eastAsia="Times New Roman" w:hAnsi="Arial" w:cs="Arial"/>
          <w:color w:val="000000"/>
          <w:sz w:val="18"/>
          <w:szCs w:val="18"/>
          <w:lang w:val="en-US" w:eastAsia="fr-FR"/>
        </w:rPr>
        <w:t>, as it did not agree with the increase.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24</w:t>
      </w:r>
      <w:r w:rsidRPr="00C9365D">
        <w:rPr>
          <w:rFonts w:ascii="Arial" w:eastAsia="Times New Roman" w:hAnsi="Arial" w:cs="Arial"/>
          <w:color w:val="000000"/>
          <w:sz w:val="18"/>
          <w:szCs w:val="18"/>
          <w:lang w:val="en-US" w:eastAsia="fr-FR"/>
        </w:rPr>
        <w:t xml:space="preserve">      By decision of 10 December 2009, the </w:t>
      </w:r>
      <w:proofErr w:type="spellStart"/>
      <w:r w:rsidRPr="00C9365D">
        <w:rPr>
          <w:rFonts w:ascii="Arial" w:eastAsia="Times New Roman" w:hAnsi="Arial" w:cs="Arial"/>
          <w:color w:val="000000"/>
          <w:sz w:val="18"/>
          <w:szCs w:val="18"/>
          <w:lang w:val="en-US" w:eastAsia="fr-FR"/>
        </w:rPr>
        <w:t>Bundesnetzagentur</w:t>
      </w:r>
      <w:proofErr w:type="spellEnd"/>
      <w:r w:rsidRPr="00C9365D">
        <w:rPr>
          <w:rFonts w:ascii="Arial" w:eastAsia="Times New Roman" w:hAnsi="Arial" w:cs="Arial"/>
          <w:color w:val="000000"/>
          <w:sz w:val="18"/>
          <w:szCs w:val="18"/>
          <w:lang w:val="en-US" w:eastAsia="fr-FR"/>
        </w:rPr>
        <w:t xml:space="preserve"> (Federal Network Agency, Germany), in its capacity as the competent regulatory body, declared SPS 05 invalid with effect from 1 May 2010. DB Station &amp; Service brought an action against that decision. By decision of 23 March 2010, the </w:t>
      </w:r>
      <w:proofErr w:type="spellStart"/>
      <w:r w:rsidRPr="00C9365D">
        <w:rPr>
          <w:rFonts w:ascii="Arial" w:eastAsia="Times New Roman" w:hAnsi="Arial" w:cs="Arial"/>
          <w:color w:val="000000"/>
          <w:sz w:val="18"/>
          <w:szCs w:val="18"/>
          <w:lang w:val="en-US" w:eastAsia="fr-FR"/>
        </w:rPr>
        <w:t>Oberverwaltungsgericht</w:t>
      </w:r>
      <w:proofErr w:type="spellEnd"/>
      <w:r w:rsidRPr="00C9365D">
        <w:rPr>
          <w:rFonts w:ascii="Arial" w:eastAsia="Times New Roman" w:hAnsi="Arial" w:cs="Arial"/>
          <w:color w:val="000000"/>
          <w:sz w:val="18"/>
          <w:szCs w:val="18"/>
          <w:lang w:val="en-US" w:eastAsia="fr-FR"/>
        </w:rPr>
        <w:t xml:space="preserve"> Nordrhein-Westfalen (Higher Administrative Court, North Rhine-Westphalia, Germany) </w:t>
      </w:r>
      <w:proofErr w:type="spellStart"/>
      <w:r w:rsidRPr="00C9365D">
        <w:rPr>
          <w:rFonts w:ascii="Arial" w:eastAsia="Times New Roman" w:hAnsi="Arial" w:cs="Arial"/>
          <w:color w:val="000000"/>
          <w:sz w:val="18"/>
          <w:szCs w:val="18"/>
          <w:lang w:val="en-US" w:eastAsia="fr-FR"/>
        </w:rPr>
        <w:t>recognised</w:t>
      </w:r>
      <w:proofErr w:type="spellEnd"/>
      <w:r w:rsidRPr="00C9365D">
        <w:rPr>
          <w:rFonts w:ascii="Arial" w:eastAsia="Times New Roman" w:hAnsi="Arial" w:cs="Arial"/>
          <w:color w:val="000000"/>
          <w:sz w:val="18"/>
          <w:szCs w:val="18"/>
          <w:lang w:val="en-US" w:eastAsia="fr-FR"/>
        </w:rPr>
        <w:t xml:space="preserve"> the suspensory effect of that action. However, at the time the order for reference was made by the referring court in the present </w:t>
      </w:r>
      <w:proofErr w:type="gramStart"/>
      <w:r w:rsidRPr="00C9365D">
        <w:rPr>
          <w:rFonts w:ascii="Arial" w:eastAsia="Times New Roman" w:hAnsi="Arial" w:cs="Arial"/>
          <w:color w:val="000000"/>
          <w:sz w:val="18"/>
          <w:szCs w:val="18"/>
          <w:lang w:val="en-US" w:eastAsia="fr-FR"/>
        </w:rPr>
        <w:t>case, that</w:t>
      </w:r>
      <w:proofErr w:type="gramEnd"/>
      <w:r w:rsidRPr="00C9365D">
        <w:rPr>
          <w:rFonts w:ascii="Arial" w:eastAsia="Times New Roman" w:hAnsi="Arial" w:cs="Arial"/>
          <w:color w:val="000000"/>
          <w:sz w:val="18"/>
          <w:szCs w:val="18"/>
          <w:lang w:val="en-US" w:eastAsia="fr-FR"/>
        </w:rPr>
        <w:t xml:space="preserve"> court had not yet adjudicated on the substance of the action.</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25</w:t>
      </w:r>
      <w:r w:rsidRPr="00C9365D">
        <w:rPr>
          <w:rFonts w:ascii="Arial" w:eastAsia="Times New Roman" w:hAnsi="Arial" w:cs="Arial"/>
          <w:color w:val="000000"/>
          <w:sz w:val="18"/>
          <w:szCs w:val="18"/>
          <w:lang w:val="en-US" w:eastAsia="fr-FR"/>
        </w:rPr>
        <w:t xml:space="preserve">      By a number of actions brought before the </w:t>
      </w:r>
      <w:proofErr w:type="spellStart"/>
      <w:r w:rsidRPr="00C9365D">
        <w:rPr>
          <w:rFonts w:ascii="Arial" w:eastAsia="Times New Roman" w:hAnsi="Arial" w:cs="Arial"/>
          <w:color w:val="000000"/>
          <w:sz w:val="18"/>
          <w:szCs w:val="18"/>
          <w:lang w:val="en-US" w:eastAsia="fr-FR"/>
        </w:rPr>
        <w:t>Landgericht</w:t>
      </w:r>
      <w:proofErr w:type="spellEnd"/>
      <w:r w:rsidRPr="00C9365D">
        <w:rPr>
          <w:rFonts w:ascii="Arial" w:eastAsia="Times New Roman" w:hAnsi="Arial" w:cs="Arial"/>
          <w:color w:val="000000"/>
          <w:sz w:val="18"/>
          <w:szCs w:val="18"/>
          <w:lang w:val="en-US" w:eastAsia="fr-FR"/>
        </w:rPr>
        <w:t xml:space="preserve"> Berlin (Regional Court, Berlin, Germany), ODEG claimed reimbursement of the amount of the charges paid between November 2006 and December 2010 on the basis of SPS 05, in so far as it exceeded the amount that would have been payable under the price list previously in force, namely SPS 99. Those actions </w:t>
      </w:r>
      <w:proofErr w:type="gramStart"/>
      <w:r w:rsidRPr="00C9365D">
        <w:rPr>
          <w:rFonts w:ascii="Arial" w:eastAsia="Times New Roman" w:hAnsi="Arial" w:cs="Arial"/>
          <w:color w:val="000000"/>
          <w:sz w:val="18"/>
          <w:szCs w:val="18"/>
          <w:lang w:val="en-US" w:eastAsia="fr-FR"/>
        </w:rPr>
        <w:t>were allowed</w:t>
      </w:r>
      <w:proofErr w:type="gramEnd"/>
      <w:r w:rsidRPr="00C9365D">
        <w:rPr>
          <w:rFonts w:ascii="Arial" w:eastAsia="Times New Roman" w:hAnsi="Arial" w:cs="Arial"/>
          <w:color w:val="000000"/>
          <w:sz w:val="18"/>
          <w:szCs w:val="18"/>
          <w:lang w:val="en-US" w:eastAsia="fr-FR"/>
        </w:rPr>
        <w:t xml:space="preserve"> on ‘grounds of fairness’ on the basis of Paragraph 315 of the </w:t>
      </w:r>
      <w:proofErr w:type="spellStart"/>
      <w:r w:rsidRPr="00C9365D">
        <w:rPr>
          <w:rFonts w:ascii="Arial" w:eastAsia="Times New Roman" w:hAnsi="Arial" w:cs="Arial"/>
          <w:color w:val="000000"/>
          <w:sz w:val="18"/>
          <w:szCs w:val="18"/>
          <w:lang w:val="en-US" w:eastAsia="fr-FR"/>
        </w:rPr>
        <w:t>Bürgerliches</w:t>
      </w:r>
      <w:proofErr w:type="spellEnd"/>
      <w:r w:rsidRPr="00C9365D">
        <w:rPr>
          <w:rFonts w:ascii="Arial" w:eastAsia="Times New Roman" w:hAnsi="Arial" w:cs="Arial"/>
          <w:color w:val="000000"/>
          <w:sz w:val="18"/>
          <w:szCs w:val="18"/>
          <w:lang w:val="en-US" w:eastAsia="fr-FR"/>
        </w:rPr>
        <w:t xml:space="preserve"> </w:t>
      </w:r>
      <w:proofErr w:type="spellStart"/>
      <w:r w:rsidRPr="00C9365D">
        <w:rPr>
          <w:rFonts w:ascii="Arial" w:eastAsia="Times New Roman" w:hAnsi="Arial" w:cs="Arial"/>
          <w:color w:val="000000"/>
          <w:sz w:val="18"/>
          <w:szCs w:val="18"/>
          <w:lang w:val="en-US" w:eastAsia="fr-FR"/>
        </w:rPr>
        <w:t>Gesetzbuch</w:t>
      </w:r>
      <w:proofErr w:type="spellEnd"/>
      <w:r w:rsidRPr="00C9365D">
        <w:rPr>
          <w:rFonts w:ascii="Arial" w:eastAsia="Times New Roman" w:hAnsi="Arial" w:cs="Arial"/>
          <w:color w:val="000000"/>
          <w:sz w:val="18"/>
          <w:szCs w:val="18"/>
          <w:lang w:val="en-US" w:eastAsia="fr-FR"/>
        </w:rPr>
        <w:t xml:space="preserve"> (German Civil Code), which allows the court to restore contractual equilibrium when it is disrupted. DB Station &amp; Service brought an appeal before the referring court, the </w:t>
      </w:r>
      <w:proofErr w:type="spellStart"/>
      <w:r w:rsidRPr="00C9365D">
        <w:rPr>
          <w:rFonts w:ascii="Arial" w:eastAsia="Times New Roman" w:hAnsi="Arial" w:cs="Arial"/>
          <w:color w:val="000000"/>
          <w:sz w:val="18"/>
          <w:szCs w:val="18"/>
          <w:lang w:val="en-US" w:eastAsia="fr-FR"/>
        </w:rPr>
        <w:t>Kammergericht</w:t>
      </w:r>
      <w:proofErr w:type="spellEnd"/>
      <w:r w:rsidRPr="00C9365D">
        <w:rPr>
          <w:rFonts w:ascii="Arial" w:eastAsia="Times New Roman" w:hAnsi="Arial" w:cs="Arial"/>
          <w:color w:val="000000"/>
          <w:sz w:val="18"/>
          <w:szCs w:val="18"/>
          <w:lang w:val="en-US" w:eastAsia="fr-FR"/>
        </w:rPr>
        <w:t xml:space="preserve"> (Higher Regional Court, Berlin, Germany), which joined the various cases by order of 30 November 2015.</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26</w:t>
      </w:r>
      <w:r w:rsidRPr="00C9365D">
        <w:rPr>
          <w:rFonts w:ascii="Arial" w:eastAsia="Times New Roman" w:hAnsi="Arial" w:cs="Arial"/>
          <w:color w:val="000000"/>
          <w:sz w:val="18"/>
          <w:szCs w:val="18"/>
          <w:lang w:val="en-US" w:eastAsia="fr-FR"/>
        </w:rPr>
        <w:t xml:space="preserve">      The referring court notes that, by decision of 11 October 2019, the </w:t>
      </w:r>
      <w:proofErr w:type="spellStart"/>
      <w:r w:rsidRPr="00C9365D">
        <w:rPr>
          <w:rFonts w:ascii="Arial" w:eastAsia="Times New Roman" w:hAnsi="Arial" w:cs="Arial"/>
          <w:color w:val="000000"/>
          <w:sz w:val="18"/>
          <w:szCs w:val="18"/>
          <w:lang w:val="en-US" w:eastAsia="fr-FR"/>
        </w:rPr>
        <w:t>Bundesnetzagentur</w:t>
      </w:r>
      <w:proofErr w:type="spellEnd"/>
      <w:r w:rsidRPr="00C9365D">
        <w:rPr>
          <w:rFonts w:ascii="Arial" w:eastAsia="Times New Roman" w:hAnsi="Arial" w:cs="Arial"/>
          <w:color w:val="000000"/>
          <w:sz w:val="18"/>
          <w:szCs w:val="18"/>
          <w:lang w:val="en-US" w:eastAsia="fr-FR"/>
        </w:rPr>
        <w:t xml:space="preserve"> rejected as inadmissible the proceedings brought by a number of railway undertakings seeking an a posteriori review of the legality of the charges levied </w:t>
      </w:r>
      <w:proofErr w:type="gramStart"/>
      <w:r w:rsidRPr="00C9365D">
        <w:rPr>
          <w:rFonts w:ascii="Arial" w:eastAsia="Times New Roman" w:hAnsi="Arial" w:cs="Arial"/>
          <w:color w:val="000000"/>
          <w:sz w:val="18"/>
          <w:szCs w:val="18"/>
          <w:lang w:val="en-US" w:eastAsia="fr-FR"/>
        </w:rPr>
        <w:t>on the basis of</w:t>
      </w:r>
      <w:proofErr w:type="gramEnd"/>
      <w:r w:rsidRPr="00C9365D">
        <w:rPr>
          <w:rFonts w:ascii="Arial" w:eastAsia="Times New Roman" w:hAnsi="Arial" w:cs="Arial"/>
          <w:color w:val="000000"/>
          <w:sz w:val="18"/>
          <w:szCs w:val="18"/>
          <w:lang w:val="en-US" w:eastAsia="fr-FR"/>
        </w:rPr>
        <w:t xml:space="preserve"> SPS 05. That decision was the subject of an </w:t>
      </w:r>
      <w:proofErr w:type="gramStart"/>
      <w:r w:rsidRPr="00C9365D">
        <w:rPr>
          <w:rFonts w:ascii="Arial" w:eastAsia="Times New Roman" w:hAnsi="Arial" w:cs="Arial"/>
          <w:color w:val="000000"/>
          <w:sz w:val="18"/>
          <w:szCs w:val="18"/>
          <w:lang w:val="en-US" w:eastAsia="fr-FR"/>
        </w:rPr>
        <w:t>action which</w:t>
      </w:r>
      <w:proofErr w:type="gramEnd"/>
      <w:r w:rsidRPr="00C9365D">
        <w:rPr>
          <w:rFonts w:ascii="Arial" w:eastAsia="Times New Roman" w:hAnsi="Arial" w:cs="Arial"/>
          <w:color w:val="000000"/>
          <w:sz w:val="18"/>
          <w:szCs w:val="18"/>
          <w:lang w:val="en-US" w:eastAsia="fr-FR"/>
        </w:rPr>
        <w:t xml:space="preserve">, at the time when the order for reference was made by the referring court in the present case, was still pending before the </w:t>
      </w:r>
      <w:proofErr w:type="spellStart"/>
      <w:r w:rsidRPr="00C9365D">
        <w:rPr>
          <w:rFonts w:ascii="Arial" w:eastAsia="Times New Roman" w:hAnsi="Arial" w:cs="Arial"/>
          <w:color w:val="000000"/>
          <w:sz w:val="18"/>
          <w:szCs w:val="18"/>
          <w:lang w:val="en-US" w:eastAsia="fr-FR"/>
        </w:rPr>
        <w:t>Verwaltungsgericht</w:t>
      </w:r>
      <w:proofErr w:type="spellEnd"/>
      <w:r w:rsidRPr="00C9365D">
        <w:rPr>
          <w:rFonts w:ascii="Arial" w:eastAsia="Times New Roman" w:hAnsi="Arial" w:cs="Arial"/>
          <w:color w:val="000000"/>
          <w:sz w:val="18"/>
          <w:szCs w:val="18"/>
          <w:lang w:val="en-US" w:eastAsia="fr-FR"/>
        </w:rPr>
        <w:t xml:space="preserve"> Köln (Administrative Court, Cologne, Germany).</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27</w:t>
      </w:r>
      <w:r w:rsidRPr="00C9365D">
        <w:rPr>
          <w:rFonts w:ascii="Arial" w:eastAsia="Times New Roman" w:hAnsi="Arial" w:cs="Arial"/>
          <w:color w:val="000000"/>
          <w:sz w:val="18"/>
          <w:szCs w:val="18"/>
          <w:lang w:val="en-US" w:eastAsia="fr-FR"/>
        </w:rPr>
        <w:t>      The referring court considers that the outcome of the dispute before it depends on the interpretation of Directive 2001/14, which is applicable </w:t>
      </w:r>
      <w:proofErr w:type="spellStart"/>
      <w:r w:rsidRPr="00C9365D">
        <w:rPr>
          <w:rFonts w:ascii="Arial" w:eastAsia="Times New Roman" w:hAnsi="Arial" w:cs="Arial"/>
          <w:i/>
          <w:iCs/>
          <w:color w:val="000000"/>
          <w:sz w:val="18"/>
          <w:szCs w:val="18"/>
          <w:lang w:val="en-US" w:eastAsia="fr-FR"/>
        </w:rPr>
        <w:t>ratione</w:t>
      </w:r>
      <w:proofErr w:type="spellEnd"/>
      <w:r w:rsidRPr="00C9365D">
        <w:rPr>
          <w:rFonts w:ascii="Arial" w:eastAsia="Times New Roman" w:hAnsi="Arial" w:cs="Arial"/>
          <w:i/>
          <w:iCs/>
          <w:color w:val="000000"/>
          <w:sz w:val="18"/>
          <w:szCs w:val="18"/>
          <w:lang w:val="en-US" w:eastAsia="fr-FR"/>
        </w:rPr>
        <w:t xml:space="preserve"> </w:t>
      </w:r>
      <w:proofErr w:type="spellStart"/>
      <w:r w:rsidRPr="00C9365D">
        <w:rPr>
          <w:rFonts w:ascii="Arial" w:eastAsia="Times New Roman" w:hAnsi="Arial" w:cs="Arial"/>
          <w:i/>
          <w:iCs/>
          <w:color w:val="000000"/>
          <w:sz w:val="18"/>
          <w:szCs w:val="18"/>
          <w:lang w:val="en-US" w:eastAsia="fr-FR"/>
        </w:rPr>
        <w:t>temporis</w:t>
      </w:r>
      <w:proofErr w:type="spellEnd"/>
      <w:r w:rsidRPr="00C9365D">
        <w:rPr>
          <w:rFonts w:ascii="Arial" w:eastAsia="Times New Roman" w:hAnsi="Arial" w:cs="Arial"/>
          <w:color w:val="000000"/>
          <w:sz w:val="18"/>
          <w:szCs w:val="18"/>
          <w:lang w:val="en-US" w:eastAsia="fr-FR"/>
        </w:rPr>
        <w:t> and </w:t>
      </w:r>
      <w:proofErr w:type="spellStart"/>
      <w:r w:rsidRPr="00C9365D">
        <w:rPr>
          <w:rFonts w:ascii="Arial" w:eastAsia="Times New Roman" w:hAnsi="Arial" w:cs="Arial"/>
          <w:i/>
          <w:iCs/>
          <w:color w:val="000000"/>
          <w:sz w:val="18"/>
          <w:szCs w:val="18"/>
          <w:lang w:val="en-US" w:eastAsia="fr-FR"/>
        </w:rPr>
        <w:t>ratione</w:t>
      </w:r>
      <w:proofErr w:type="spellEnd"/>
      <w:r w:rsidRPr="00C9365D">
        <w:rPr>
          <w:rFonts w:ascii="Arial" w:eastAsia="Times New Roman" w:hAnsi="Arial" w:cs="Arial"/>
          <w:i/>
          <w:iCs/>
          <w:color w:val="000000"/>
          <w:sz w:val="18"/>
          <w:szCs w:val="18"/>
          <w:lang w:val="en-US" w:eastAsia="fr-FR"/>
        </w:rPr>
        <w:t xml:space="preserve"> </w:t>
      </w:r>
      <w:proofErr w:type="spellStart"/>
      <w:r w:rsidRPr="00C9365D">
        <w:rPr>
          <w:rFonts w:ascii="Arial" w:eastAsia="Times New Roman" w:hAnsi="Arial" w:cs="Arial"/>
          <w:i/>
          <w:iCs/>
          <w:color w:val="000000"/>
          <w:sz w:val="18"/>
          <w:szCs w:val="18"/>
          <w:lang w:val="en-US" w:eastAsia="fr-FR"/>
        </w:rPr>
        <w:t>materiae</w:t>
      </w:r>
      <w:proofErr w:type="spellEnd"/>
      <w:r w:rsidRPr="00C9365D">
        <w:rPr>
          <w:rFonts w:ascii="Arial" w:eastAsia="Times New Roman" w:hAnsi="Arial" w:cs="Arial"/>
          <w:color w:val="000000"/>
          <w:sz w:val="18"/>
          <w:szCs w:val="18"/>
          <w:lang w:val="en-US" w:eastAsia="fr-FR"/>
        </w:rPr>
        <w:t>. In particular, that court raises the question of the relationship between the competence of the regulatory bodies referred to in Article 30 of that directive and the jurisdiction of the national civil courts when the latter are called upon to apply Article 102 TFEU.</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28</w:t>
      </w:r>
      <w:r w:rsidRPr="00C9365D">
        <w:rPr>
          <w:rFonts w:ascii="Arial" w:eastAsia="Times New Roman" w:hAnsi="Arial" w:cs="Arial"/>
          <w:color w:val="000000"/>
          <w:sz w:val="18"/>
          <w:szCs w:val="18"/>
          <w:lang w:val="en-US" w:eastAsia="fr-FR"/>
        </w:rPr>
        <w:t>      The referring court notes in that regard that the Court held, in paragraph 103 of the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that Directive 2001/14 precludes a review of the equity of infrastructure charges, on a case-by-case basis, by the ordinary courts, independently of the monitoring carried out by the regulatory body provided for in Article 30 of that directive.</w:t>
      </w:r>
      <w:proofErr w:type="gramEnd"/>
      <w:r w:rsidRPr="00C9365D">
        <w:rPr>
          <w:rFonts w:ascii="Arial" w:eastAsia="Times New Roman" w:hAnsi="Arial" w:cs="Arial"/>
          <w:color w:val="000000"/>
          <w:sz w:val="18"/>
          <w:szCs w:val="18"/>
          <w:lang w:val="en-US" w:eastAsia="fr-FR"/>
        </w:rPr>
        <w:t xml:space="preserve"> However, it is not certain that the considerations in that judgment could also apply where those courts </w:t>
      </w:r>
      <w:proofErr w:type="gramStart"/>
      <w:r w:rsidRPr="00C9365D">
        <w:rPr>
          <w:rFonts w:ascii="Arial" w:eastAsia="Times New Roman" w:hAnsi="Arial" w:cs="Arial"/>
          <w:color w:val="000000"/>
          <w:sz w:val="18"/>
          <w:szCs w:val="18"/>
          <w:lang w:val="en-US" w:eastAsia="fr-FR"/>
        </w:rPr>
        <w:t>are called upon</w:t>
      </w:r>
      <w:proofErr w:type="gramEnd"/>
      <w:r w:rsidRPr="00C9365D">
        <w:rPr>
          <w:rFonts w:ascii="Arial" w:eastAsia="Times New Roman" w:hAnsi="Arial" w:cs="Arial"/>
          <w:color w:val="000000"/>
          <w:sz w:val="18"/>
          <w:szCs w:val="18"/>
          <w:lang w:val="en-US" w:eastAsia="fr-FR"/>
        </w:rPr>
        <w:t xml:space="preserve"> to review the legality of those charges in the light of Article 102 TFEU and national competition law prohibiting, inter alia, abuse of a dominant position.</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29</w:t>
      </w:r>
      <w:r w:rsidRPr="00C9365D">
        <w:rPr>
          <w:rFonts w:ascii="Arial" w:eastAsia="Times New Roman" w:hAnsi="Arial" w:cs="Arial"/>
          <w:color w:val="000000"/>
          <w:sz w:val="18"/>
          <w:szCs w:val="18"/>
          <w:lang w:val="en-US" w:eastAsia="fr-FR"/>
        </w:rPr>
        <w:t>      Several German courts have held that the principles identified in the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w:t>
      </w:r>
      <w:proofErr w:type="gramStart"/>
      <w:r w:rsidRPr="00C9365D">
        <w:rPr>
          <w:rFonts w:ascii="Arial" w:eastAsia="Times New Roman" w:hAnsi="Arial" w:cs="Arial"/>
          <w:color w:val="000000"/>
          <w:sz w:val="18"/>
          <w:szCs w:val="18"/>
          <w:lang w:val="en-US" w:eastAsia="fr-FR"/>
        </w:rPr>
        <w:t>:C:2017:834</w:t>
      </w:r>
      <w:proofErr w:type="gramEnd"/>
      <w:r w:rsidRPr="00C9365D">
        <w:rPr>
          <w:rFonts w:ascii="Arial" w:eastAsia="Times New Roman" w:hAnsi="Arial" w:cs="Arial"/>
          <w:color w:val="000000"/>
          <w:sz w:val="18"/>
          <w:szCs w:val="18"/>
          <w:lang w:val="en-US" w:eastAsia="fr-FR"/>
        </w:rPr>
        <w:t>), preclude them from adjudicating on actions for reimbursement, before the competent regulatory body has adopted a final decision in that regard. Conversely, in a judgment of 29 October 2019, known as ‘</w:t>
      </w:r>
      <w:proofErr w:type="spellStart"/>
      <w:r w:rsidRPr="00C9365D">
        <w:rPr>
          <w:rFonts w:ascii="Arial" w:eastAsia="Times New Roman" w:hAnsi="Arial" w:cs="Arial"/>
          <w:i/>
          <w:iCs/>
          <w:color w:val="000000"/>
          <w:sz w:val="18"/>
          <w:szCs w:val="18"/>
          <w:lang w:val="en-US" w:eastAsia="fr-FR"/>
        </w:rPr>
        <w:t>Trassenentgelte</w:t>
      </w:r>
      <w:proofErr w:type="spellEnd"/>
      <w:r w:rsidRPr="00C9365D">
        <w:rPr>
          <w:rFonts w:ascii="Arial" w:eastAsia="Times New Roman" w:hAnsi="Arial" w:cs="Arial"/>
          <w:color w:val="000000"/>
          <w:sz w:val="18"/>
          <w:szCs w:val="18"/>
          <w:lang w:val="en-US" w:eastAsia="fr-FR"/>
        </w:rPr>
        <w:t xml:space="preserve">’, the </w:t>
      </w:r>
      <w:proofErr w:type="spellStart"/>
      <w:r w:rsidRPr="00C9365D">
        <w:rPr>
          <w:rFonts w:ascii="Arial" w:eastAsia="Times New Roman" w:hAnsi="Arial" w:cs="Arial"/>
          <w:color w:val="000000"/>
          <w:sz w:val="18"/>
          <w:szCs w:val="18"/>
          <w:lang w:val="en-US" w:eastAsia="fr-FR"/>
        </w:rPr>
        <w:t>Bundesgerichtshof</w:t>
      </w:r>
      <w:proofErr w:type="spellEnd"/>
      <w:r w:rsidRPr="00C9365D">
        <w:rPr>
          <w:rFonts w:ascii="Arial" w:eastAsia="Times New Roman" w:hAnsi="Arial" w:cs="Arial"/>
          <w:color w:val="000000"/>
          <w:sz w:val="18"/>
          <w:szCs w:val="18"/>
          <w:lang w:val="en-US" w:eastAsia="fr-FR"/>
        </w:rPr>
        <w:t xml:space="preserve"> (Federal Court of Justice, Germany) declared that the application of Article 102 TFEU by the civil courts is permissible and required, without a final decision of the regulatory body being necessary beforehand.</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30</w:t>
      </w:r>
      <w:r w:rsidRPr="00C9365D">
        <w:rPr>
          <w:rFonts w:ascii="Arial" w:eastAsia="Times New Roman" w:hAnsi="Arial" w:cs="Arial"/>
          <w:color w:val="000000"/>
          <w:sz w:val="18"/>
          <w:szCs w:val="18"/>
          <w:lang w:val="en-US" w:eastAsia="fr-FR"/>
        </w:rPr>
        <w:t>      The referring court considers, however, that there are good reasons for departing from the position taken by the German supreme civil court.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lastRenderedPageBreak/>
        <w:t>31</w:t>
      </w:r>
      <w:r w:rsidRPr="00C9365D">
        <w:rPr>
          <w:rFonts w:ascii="Arial" w:eastAsia="Times New Roman" w:hAnsi="Arial" w:cs="Arial"/>
          <w:color w:val="000000"/>
          <w:sz w:val="18"/>
          <w:szCs w:val="18"/>
          <w:lang w:val="en-US" w:eastAsia="fr-FR"/>
        </w:rPr>
        <w:t>      In the first place, the review carried out by the civil courts could undermine the exclusive competence of the regulatory body, referred to in the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w:t>
      </w:r>
      <w:proofErr w:type="gramStart"/>
      <w:r w:rsidRPr="00C9365D">
        <w:rPr>
          <w:rFonts w:ascii="Arial" w:eastAsia="Times New Roman" w:hAnsi="Arial" w:cs="Arial"/>
          <w:color w:val="000000"/>
          <w:sz w:val="18"/>
          <w:szCs w:val="18"/>
          <w:lang w:val="en-US" w:eastAsia="fr-FR"/>
        </w:rPr>
        <w:t>:C:2017:834</w:t>
      </w:r>
      <w:proofErr w:type="gramEnd"/>
      <w:r w:rsidRPr="00C9365D">
        <w:rPr>
          <w:rFonts w:ascii="Arial" w:eastAsia="Times New Roman" w:hAnsi="Arial" w:cs="Arial"/>
          <w:color w:val="000000"/>
          <w:sz w:val="18"/>
          <w:szCs w:val="18"/>
          <w:lang w:val="en-US" w:eastAsia="fr-FR"/>
        </w:rPr>
        <w: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32</w:t>
      </w:r>
      <w:r w:rsidRPr="00C9365D">
        <w:rPr>
          <w:rFonts w:ascii="Arial" w:eastAsia="Times New Roman" w:hAnsi="Arial" w:cs="Arial"/>
          <w:color w:val="000000"/>
          <w:sz w:val="18"/>
          <w:szCs w:val="18"/>
          <w:lang w:val="en-US" w:eastAsia="fr-FR"/>
        </w:rPr>
        <w:t>      In the second place, it is true that it follows from the case-law of the Court, in particular from the judgment of 30 January 1974, </w:t>
      </w:r>
      <w:r w:rsidRPr="00C9365D">
        <w:rPr>
          <w:rFonts w:ascii="Arial" w:eastAsia="Times New Roman" w:hAnsi="Arial" w:cs="Arial"/>
          <w:i/>
          <w:iCs/>
          <w:color w:val="000000"/>
          <w:sz w:val="18"/>
          <w:szCs w:val="18"/>
          <w:lang w:val="en-US" w:eastAsia="fr-FR"/>
        </w:rPr>
        <w:t xml:space="preserve">BRT and </w:t>
      </w:r>
      <w:proofErr w:type="spellStart"/>
      <w:r w:rsidRPr="00C9365D">
        <w:rPr>
          <w:rFonts w:ascii="Arial" w:eastAsia="Times New Roman" w:hAnsi="Arial" w:cs="Arial"/>
          <w:i/>
          <w:iCs/>
          <w:color w:val="000000"/>
          <w:sz w:val="18"/>
          <w:szCs w:val="18"/>
          <w:lang w:val="en-US" w:eastAsia="fr-FR"/>
        </w:rPr>
        <w:t>Société</w:t>
      </w:r>
      <w:proofErr w:type="spellEnd"/>
      <w:r w:rsidRPr="00C9365D">
        <w:rPr>
          <w:rFonts w:ascii="Arial" w:eastAsia="Times New Roman" w:hAnsi="Arial" w:cs="Arial"/>
          <w:i/>
          <w:iCs/>
          <w:color w:val="000000"/>
          <w:sz w:val="18"/>
          <w:szCs w:val="18"/>
          <w:lang w:val="en-US" w:eastAsia="fr-FR"/>
        </w:rPr>
        <w:t xml:space="preserve"> </w:t>
      </w:r>
      <w:proofErr w:type="spellStart"/>
      <w:r w:rsidRPr="00C9365D">
        <w:rPr>
          <w:rFonts w:ascii="Arial" w:eastAsia="Times New Roman" w:hAnsi="Arial" w:cs="Arial"/>
          <w:i/>
          <w:iCs/>
          <w:color w:val="000000"/>
          <w:sz w:val="18"/>
          <w:szCs w:val="18"/>
          <w:lang w:val="en-US" w:eastAsia="fr-FR"/>
        </w:rPr>
        <w:t>belge</w:t>
      </w:r>
      <w:proofErr w:type="spellEnd"/>
      <w:r w:rsidRPr="00C9365D">
        <w:rPr>
          <w:rFonts w:ascii="Arial" w:eastAsia="Times New Roman" w:hAnsi="Arial" w:cs="Arial"/>
          <w:i/>
          <w:iCs/>
          <w:color w:val="000000"/>
          <w:sz w:val="18"/>
          <w:szCs w:val="18"/>
          <w:lang w:val="en-US" w:eastAsia="fr-FR"/>
        </w:rPr>
        <w:t xml:space="preserve"> des auteurs, </w:t>
      </w:r>
      <w:proofErr w:type="spellStart"/>
      <w:r w:rsidRPr="00C9365D">
        <w:rPr>
          <w:rFonts w:ascii="Arial" w:eastAsia="Times New Roman" w:hAnsi="Arial" w:cs="Arial"/>
          <w:i/>
          <w:iCs/>
          <w:color w:val="000000"/>
          <w:sz w:val="18"/>
          <w:szCs w:val="18"/>
          <w:lang w:val="en-US" w:eastAsia="fr-FR"/>
        </w:rPr>
        <w:t>compositeurs</w:t>
      </w:r>
      <w:proofErr w:type="spellEnd"/>
      <w:r w:rsidRPr="00C9365D">
        <w:rPr>
          <w:rFonts w:ascii="Arial" w:eastAsia="Times New Roman" w:hAnsi="Arial" w:cs="Arial"/>
          <w:i/>
          <w:iCs/>
          <w:color w:val="000000"/>
          <w:sz w:val="18"/>
          <w:szCs w:val="18"/>
          <w:lang w:val="en-US" w:eastAsia="fr-FR"/>
        </w:rPr>
        <w:t xml:space="preserve"> et </w:t>
      </w:r>
      <w:proofErr w:type="spellStart"/>
      <w:r w:rsidRPr="00C9365D">
        <w:rPr>
          <w:rFonts w:ascii="Arial" w:eastAsia="Times New Roman" w:hAnsi="Arial" w:cs="Arial"/>
          <w:i/>
          <w:iCs/>
          <w:color w:val="000000"/>
          <w:sz w:val="18"/>
          <w:szCs w:val="18"/>
          <w:lang w:val="en-US" w:eastAsia="fr-FR"/>
        </w:rPr>
        <w:t>éditeurs</w:t>
      </w:r>
      <w:proofErr w:type="spellEnd"/>
      <w:r w:rsidRPr="00C9365D">
        <w:rPr>
          <w:rFonts w:ascii="Arial" w:eastAsia="Times New Roman" w:hAnsi="Arial" w:cs="Arial"/>
          <w:color w:val="000000"/>
          <w:sz w:val="18"/>
          <w:szCs w:val="18"/>
          <w:lang w:val="en-US" w:eastAsia="fr-FR"/>
        </w:rPr>
        <w:t xml:space="preserve"> (127/73, EU:C:1974:6), that national courts are required to apply Article 102 TFEU directly. However, the Court has not yet ruled on the relationship between that obligation and the competence of the regulatory </w:t>
      </w:r>
      <w:proofErr w:type="gramStart"/>
      <w:r w:rsidRPr="00C9365D">
        <w:rPr>
          <w:rFonts w:ascii="Arial" w:eastAsia="Times New Roman" w:hAnsi="Arial" w:cs="Arial"/>
          <w:color w:val="000000"/>
          <w:sz w:val="18"/>
          <w:szCs w:val="18"/>
          <w:lang w:val="en-US" w:eastAsia="fr-FR"/>
        </w:rPr>
        <w:t>body which</w:t>
      </w:r>
      <w:proofErr w:type="gramEnd"/>
      <w:r w:rsidRPr="00C9365D">
        <w:rPr>
          <w:rFonts w:ascii="Arial" w:eastAsia="Times New Roman" w:hAnsi="Arial" w:cs="Arial"/>
          <w:color w:val="000000"/>
          <w:sz w:val="18"/>
          <w:szCs w:val="18"/>
          <w:lang w:val="en-US" w:eastAsia="fr-FR"/>
        </w:rPr>
        <w:t>, under Directive 2001/14, is responsible for monitoring charges.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33</w:t>
      </w:r>
      <w:r w:rsidRPr="00C9365D">
        <w:rPr>
          <w:rFonts w:ascii="Arial" w:eastAsia="Times New Roman" w:hAnsi="Arial" w:cs="Arial"/>
          <w:color w:val="000000"/>
          <w:sz w:val="18"/>
          <w:szCs w:val="18"/>
          <w:lang w:val="en-US" w:eastAsia="fr-FR"/>
        </w:rPr>
        <w:t>      In the third place, although, in paragraph 135 of the judgment of 10 July 2014, </w:t>
      </w:r>
      <w:proofErr w:type="spellStart"/>
      <w:r w:rsidRPr="00C9365D">
        <w:rPr>
          <w:rFonts w:ascii="Arial" w:eastAsia="Times New Roman" w:hAnsi="Arial" w:cs="Arial"/>
          <w:i/>
          <w:iCs/>
          <w:color w:val="000000"/>
          <w:sz w:val="18"/>
          <w:szCs w:val="18"/>
          <w:lang w:val="en-US" w:eastAsia="fr-FR"/>
        </w:rPr>
        <w:t>Telefónica</w:t>
      </w:r>
      <w:proofErr w:type="spellEnd"/>
      <w:r w:rsidRPr="00C9365D">
        <w:rPr>
          <w:rFonts w:ascii="Arial" w:eastAsia="Times New Roman" w:hAnsi="Arial" w:cs="Arial"/>
          <w:i/>
          <w:iCs/>
          <w:color w:val="000000"/>
          <w:sz w:val="18"/>
          <w:szCs w:val="18"/>
          <w:lang w:val="en-US" w:eastAsia="fr-FR"/>
        </w:rPr>
        <w:t xml:space="preserve"> and </w:t>
      </w:r>
      <w:proofErr w:type="spellStart"/>
      <w:r w:rsidRPr="00C9365D">
        <w:rPr>
          <w:rFonts w:ascii="Arial" w:eastAsia="Times New Roman" w:hAnsi="Arial" w:cs="Arial"/>
          <w:i/>
          <w:iCs/>
          <w:color w:val="000000"/>
          <w:sz w:val="18"/>
          <w:szCs w:val="18"/>
          <w:lang w:val="en-US" w:eastAsia="fr-FR"/>
        </w:rPr>
        <w:t>Telefónica</w:t>
      </w:r>
      <w:proofErr w:type="spellEnd"/>
      <w:r w:rsidRPr="00C9365D">
        <w:rPr>
          <w:rFonts w:ascii="Arial" w:eastAsia="Times New Roman" w:hAnsi="Arial" w:cs="Arial"/>
          <w:i/>
          <w:iCs/>
          <w:color w:val="000000"/>
          <w:sz w:val="18"/>
          <w:szCs w:val="18"/>
          <w:lang w:val="en-US" w:eastAsia="fr-FR"/>
        </w:rPr>
        <w:t xml:space="preserve"> de </w:t>
      </w:r>
      <w:proofErr w:type="spellStart"/>
      <w:r w:rsidRPr="00C9365D">
        <w:rPr>
          <w:rFonts w:ascii="Arial" w:eastAsia="Times New Roman" w:hAnsi="Arial" w:cs="Arial"/>
          <w:i/>
          <w:iCs/>
          <w:color w:val="000000"/>
          <w:sz w:val="18"/>
          <w:szCs w:val="18"/>
          <w:lang w:val="en-US" w:eastAsia="fr-FR"/>
        </w:rPr>
        <w:t>España</w:t>
      </w:r>
      <w:proofErr w:type="spellEnd"/>
      <w:r w:rsidRPr="00C9365D">
        <w:rPr>
          <w:rFonts w:ascii="Arial" w:eastAsia="Times New Roman" w:hAnsi="Arial" w:cs="Arial"/>
          <w:color w:val="000000"/>
          <w:sz w:val="18"/>
          <w:szCs w:val="18"/>
          <w:lang w:val="en-US" w:eastAsia="fr-FR"/>
        </w:rPr>
        <w:t> v </w:t>
      </w:r>
      <w:r w:rsidRPr="00C9365D">
        <w:rPr>
          <w:rFonts w:ascii="Arial" w:eastAsia="Times New Roman" w:hAnsi="Arial" w:cs="Arial"/>
          <w:i/>
          <w:iCs/>
          <w:color w:val="000000"/>
          <w:sz w:val="18"/>
          <w:szCs w:val="18"/>
          <w:lang w:val="en-US" w:eastAsia="fr-FR"/>
        </w:rPr>
        <w:t>Commission</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295/12 P, EU:C:2014:2062), the Court held that the application of Article 102 TFEU by the European Commission was not subject to a prior examination of the measures at issue by the national regulatory authority, the referring court considers that that decision is justified by the fact that, contrary to the application of that provision by the civil courts, the Commission’s intervention does not present a risk of several, potentially divergent, decisions.</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34</w:t>
      </w:r>
      <w:r w:rsidRPr="00C9365D">
        <w:rPr>
          <w:rFonts w:ascii="Arial" w:eastAsia="Times New Roman" w:hAnsi="Arial" w:cs="Arial"/>
          <w:color w:val="000000"/>
          <w:sz w:val="18"/>
          <w:szCs w:val="18"/>
          <w:lang w:val="en-US" w:eastAsia="fr-FR"/>
        </w:rPr>
        <w:t>      Lastly, by its judgment of 1 September 2020, known as ‘</w:t>
      </w:r>
      <w:proofErr w:type="spellStart"/>
      <w:r w:rsidRPr="00C9365D">
        <w:rPr>
          <w:rFonts w:ascii="Arial" w:eastAsia="Times New Roman" w:hAnsi="Arial" w:cs="Arial"/>
          <w:i/>
          <w:iCs/>
          <w:color w:val="000000"/>
          <w:sz w:val="18"/>
          <w:szCs w:val="18"/>
          <w:lang w:val="en-US" w:eastAsia="fr-FR"/>
        </w:rPr>
        <w:t>Stationspreissystem</w:t>
      </w:r>
      <w:proofErr w:type="spellEnd"/>
      <w:r w:rsidRPr="00C9365D">
        <w:rPr>
          <w:rFonts w:ascii="Arial" w:eastAsia="Times New Roman" w:hAnsi="Arial" w:cs="Arial"/>
          <w:i/>
          <w:iCs/>
          <w:color w:val="000000"/>
          <w:sz w:val="18"/>
          <w:szCs w:val="18"/>
          <w:lang w:val="en-US" w:eastAsia="fr-FR"/>
        </w:rPr>
        <w:t xml:space="preserve"> II</w:t>
      </w:r>
      <w:r w:rsidRPr="00C9365D">
        <w:rPr>
          <w:rFonts w:ascii="Arial" w:eastAsia="Times New Roman" w:hAnsi="Arial" w:cs="Arial"/>
          <w:color w:val="000000"/>
          <w:sz w:val="18"/>
          <w:szCs w:val="18"/>
          <w:lang w:val="en-US" w:eastAsia="fr-FR"/>
        </w:rPr>
        <w:t xml:space="preserve">’, the </w:t>
      </w:r>
      <w:proofErr w:type="spellStart"/>
      <w:r w:rsidRPr="00C9365D">
        <w:rPr>
          <w:rFonts w:ascii="Arial" w:eastAsia="Times New Roman" w:hAnsi="Arial" w:cs="Arial"/>
          <w:color w:val="000000"/>
          <w:sz w:val="18"/>
          <w:szCs w:val="18"/>
          <w:lang w:val="en-US" w:eastAsia="fr-FR"/>
        </w:rPr>
        <w:t>Bundesgerichtshof</w:t>
      </w:r>
      <w:proofErr w:type="spellEnd"/>
      <w:r w:rsidRPr="00C9365D">
        <w:rPr>
          <w:rFonts w:ascii="Arial" w:eastAsia="Times New Roman" w:hAnsi="Arial" w:cs="Arial"/>
          <w:color w:val="000000"/>
          <w:sz w:val="18"/>
          <w:szCs w:val="18"/>
          <w:lang w:val="en-US" w:eastAsia="fr-FR"/>
        </w:rPr>
        <w:t xml:space="preserve"> (Federal Court of Justice) held that Article 30(3) of Directive 2001/14 does not confer competence on the regulatory body to adjudicate on </w:t>
      </w:r>
      <w:proofErr w:type="gramStart"/>
      <w:r w:rsidRPr="00C9365D">
        <w:rPr>
          <w:rFonts w:ascii="Arial" w:eastAsia="Times New Roman" w:hAnsi="Arial" w:cs="Arial"/>
          <w:color w:val="000000"/>
          <w:sz w:val="18"/>
          <w:szCs w:val="18"/>
          <w:lang w:val="en-US" w:eastAsia="fr-FR"/>
        </w:rPr>
        <w:t>charges which</w:t>
      </w:r>
      <w:proofErr w:type="gramEnd"/>
      <w:r w:rsidRPr="00C9365D">
        <w:rPr>
          <w:rFonts w:ascii="Arial" w:eastAsia="Times New Roman" w:hAnsi="Arial" w:cs="Arial"/>
          <w:color w:val="000000"/>
          <w:sz w:val="18"/>
          <w:szCs w:val="18"/>
          <w:lang w:val="en-US" w:eastAsia="fr-FR"/>
        </w:rPr>
        <w:t xml:space="preserve"> have already been paid, still less to order reimbursement of such charges. That court inferred therefrom that the review of abuse under Article 102 TFEU does not interfere with the competences of the regulatory body, since that review </w:t>
      </w:r>
      <w:proofErr w:type="gramStart"/>
      <w:r w:rsidRPr="00C9365D">
        <w:rPr>
          <w:rFonts w:ascii="Arial" w:eastAsia="Times New Roman" w:hAnsi="Arial" w:cs="Arial"/>
          <w:color w:val="000000"/>
          <w:sz w:val="18"/>
          <w:szCs w:val="18"/>
          <w:lang w:val="en-US" w:eastAsia="fr-FR"/>
        </w:rPr>
        <w:t>on the basis of</w:t>
      </w:r>
      <w:proofErr w:type="gramEnd"/>
      <w:r w:rsidRPr="00C9365D">
        <w:rPr>
          <w:rFonts w:ascii="Arial" w:eastAsia="Times New Roman" w:hAnsi="Arial" w:cs="Arial"/>
          <w:color w:val="000000"/>
          <w:sz w:val="18"/>
          <w:szCs w:val="18"/>
          <w:lang w:val="en-US" w:eastAsia="fr-FR"/>
        </w:rPr>
        <w:t xml:space="preserve"> Article 102 TFEU is limited to awarding damages </w:t>
      </w:r>
      <w:r w:rsidRPr="00C9365D">
        <w:rPr>
          <w:rFonts w:ascii="Arial" w:eastAsia="Times New Roman" w:hAnsi="Arial" w:cs="Arial"/>
          <w:i/>
          <w:iCs/>
          <w:color w:val="000000"/>
          <w:sz w:val="18"/>
          <w:szCs w:val="18"/>
          <w:lang w:val="en-US" w:eastAsia="fr-FR"/>
        </w:rPr>
        <w:t>ex post</w:t>
      </w:r>
      <w:r w:rsidRPr="00C9365D">
        <w:rPr>
          <w:rFonts w:ascii="Arial" w:eastAsia="Times New Roman" w:hAnsi="Arial" w:cs="Arial"/>
          <w:color w:val="000000"/>
          <w:sz w:val="18"/>
          <w:szCs w:val="18"/>
          <w:lang w:val="en-US" w:eastAsia="fr-FR"/>
        </w:rPr>
        <w:t>, in respect of conduct adopted by undertakings in the past.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35</w:t>
      </w:r>
      <w:r w:rsidRPr="00C9365D">
        <w:rPr>
          <w:rFonts w:ascii="Arial" w:eastAsia="Times New Roman" w:hAnsi="Arial" w:cs="Arial"/>
          <w:color w:val="000000"/>
          <w:sz w:val="18"/>
          <w:szCs w:val="18"/>
          <w:lang w:val="en-US" w:eastAsia="fr-FR"/>
        </w:rPr>
        <w:t xml:space="preserve">      The referring court considers that that analysis of EU law is flawed. </w:t>
      </w:r>
      <w:proofErr w:type="gramStart"/>
      <w:r w:rsidRPr="00C9365D">
        <w:rPr>
          <w:rFonts w:ascii="Arial" w:eastAsia="Times New Roman" w:hAnsi="Arial" w:cs="Arial"/>
          <w:color w:val="000000"/>
          <w:sz w:val="18"/>
          <w:szCs w:val="18"/>
          <w:lang w:val="en-US" w:eastAsia="fr-FR"/>
        </w:rPr>
        <w:t>First, there is nothing in Directive 2001/14 to substantiate the interpretation according to which the regulatory body decides only </w:t>
      </w:r>
      <w:r w:rsidRPr="00C9365D">
        <w:rPr>
          <w:rFonts w:ascii="Arial" w:eastAsia="Times New Roman" w:hAnsi="Arial" w:cs="Arial"/>
          <w:i/>
          <w:iCs/>
          <w:color w:val="000000"/>
          <w:sz w:val="18"/>
          <w:szCs w:val="18"/>
          <w:lang w:val="en-US" w:eastAsia="fr-FR"/>
        </w:rPr>
        <w:t xml:space="preserve">pro </w:t>
      </w:r>
      <w:proofErr w:type="spellStart"/>
      <w:r w:rsidRPr="00C9365D">
        <w:rPr>
          <w:rFonts w:ascii="Arial" w:eastAsia="Times New Roman" w:hAnsi="Arial" w:cs="Arial"/>
          <w:i/>
          <w:iCs/>
          <w:color w:val="000000"/>
          <w:sz w:val="18"/>
          <w:szCs w:val="18"/>
          <w:lang w:val="en-US" w:eastAsia="fr-FR"/>
        </w:rPr>
        <w:t>futuro</w:t>
      </w:r>
      <w:proofErr w:type="spellEnd"/>
      <w:r w:rsidRPr="00C9365D">
        <w:rPr>
          <w:rFonts w:ascii="Arial" w:eastAsia="Times New Roman" w:hAnsi="Arial" w:cs="Arial"/>
          <w:color w:val="000000"/>
          <w:sz w:val="18"/>
          <w:szCs w:val="18"/>
          <w:lang w:val="en-US" w:eastAsia="fr-FR"/>
        </w:rPr>
        <w:t>.</w:t>
      </w:r>
      <w:proofErr w:type="gramEnd"/>
      <w:r w:rsidRPr="00C9365D">
        <w:rPr>
          <w:rFonts w:ascii="Arial" w:eastAsia="Times New Roman" w:hAnsi="Arial" w:cs="Arial"/>
          <w:color w:val="000000"/>
          <w:sz w:val="18"/>
          <w:szCs w:val="18"/>
          <w:lang w:val="en-US" w:eastAsia="fr-FR"/>
        </w:rPr>
        <w:t xml:space="preserve"> Second, Article 102 TFEU permits the adoption of decisions declaring measures void or ordering conduct to </w:t>
      </w:r>
      <w:proofErr w:type="gramStart"/>
      <w:r w:rsidRPr="00C9365D">
        <w:rPr>
          <w:rFonts w:ascii="Arial" w:eastAsia="Times New Roman" w:hAnsi="Arial" w:cs="Arial"/>
          <w:color w:val="000000"/>
          <w:sz w:val="18"/>
          <w:szCs w:val="18"/>
          <w:lang w:val="en-US" w:eastAsia="fr-FR"/>
        </w:rPr>
        <w:t>be brought</w:t>
      </w:r>
      <w:proofErr w:type="gramEnd"/>
      <w:r w:rsidRPr="00C9365D">
        <w:rPr>
          <w:rFonts w:ascii="Arial" w:eastAsia="Times New Roman" w:hAnsi="Arial" w:cs="Arial"/>
          <w:color w:val="000000"/>
          <w:sz w:val="18"/>
          <w:szCs w:val="18"/>
          <w:lang w:val="en-US" w:eastAsia="fr-FR"/>
        </w:rPr>
        <w:t xml:space="preserve"> to an end. Furthermore, even the reimbursement of charges levied in the past might give rise to distortions of competition and interfere with the objectives of Directive 2001/14.</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36</w:t>
      </w:r>
      <w:r w:rsidRPr="00C9365D">
        <w:rPr>
          <w:rFonts w:ascii="Arial" w:eastAsia="Times New Roman" w:hAnsi="Arial" w:cs="Arial"/>
          <w:color w:val="000000"/>
          <w:sz w:val="18"/>
          <w:szCs w:val="18"/>
          <w:lang w:val="en-US" w:eastAsia="fr-FR"/>
        </w:rPr>
        <w:t>      In those circumstances</w:t>
      </w:r>
      <w:proofErr w:type="gramEnd"/>
      <w:r w:rsidRPr="00C9365D">
        <w:rPr>
          <w:rFonts w:ascii="Arial" w:eastAsia="Times New Roman" w:hAnsi="Arial" w:cs="Arial"/>
          <w:color w:val="000000"/>
          <w:sz w:val="18"/>
          <w:szCs w:val="18"/>
          <w:lang w:val="en-US" w:eastAsia="fr-FR"/>
        </w:rPr>
        <w:t xml:space="preserve"> the </w:t>
      </w:r>
      <w:proofErr w:type="spellStart"/>
      <w:r w:rsidRPr="00C9365D">
        <w:rPr>
          <w:rFonts w:ascii="Arial" w:eastAsia="Times New Roman" w:hAnsi="Arial" w:cs="Arial"/>
          <w:color w:val="000000"/>
          <w:sz w:val="18"/>
          <w:szCs w:val="18"/>
          <w:lang w:val="en-US" w:eastAsia="fr-FR"/>
        </w:rPr>
        <w:t>Kammergericht</w:t>
      </w:r>
      <w:proofErr w:type="spellEnd"/>
      <w:r w:rsidRPr="00C9365D">
        <w:rPr>
          <w:rFonts w:ascii="Arial" w:eastAsia="Times New Roman" w:hAnsi="Arial" w:cs="Arial"/>
          <w:color w:val="000000"/>
          <w:sz w:val="18"/>
          <w:szCs w:val="18"/>
          <w:lang w:val="en-US" w:eastAsia="fr-FR"/>
        </w:rPr>
        <w:t xml:space="preserve"> (Higher Regional Court, Berlin) decided to stay the proceedings and to refer the following questions to the Court of Justice for a preliminary ruling:</w:t>
      </w:r>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‘(1)      Is it compatible with [Directive 2001/14], including its provisions on the management independence of the infrastructure undertaking (Article 4), the principles of charging (Articles 7 to 12) and the tasks of the regulatory body (Article 30), for national civil courts to review the charges levied in the light of the criteria laid down in Article 102 TFEU and/or in national competition law on a case-by-case basis independently of the monitoring carried out by the regulatory body?</w:t>
      </w:r>
      <w:proofErr w:type="gramEnd"/>
    </w:p>
    <w:p w:rsidR="00C9365D" w:rsidRPr="00C9365D" w:rsidRDefault="00C9365D" w:rsidP="00C9365D">
      <w:pPr>
        <w:spacing w:after="240" w:line="240" w:lineRule="auto"/>
        <w:ind w:left="1134" w:hanging="567"/>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0000"/>
          <w:sz w:val="18"/>
          <w:szCs w:val="18"/>
          <w:lang w:val="en-US" w:eastAsia="fr-FR"/>
        </w:rPr>
        <w:t>(2)      If the answer to the first question is in the affirmative: Are the national civil courts permitted and required to conduct an assessment of abusive practices in the light of the criteria laid down in Article 102 TFEU and/or in national competition law, even where the rail transport undertakings have the possibility to request the competent regulatory body to review the fairness of the charges paid?</w:t>
      </w:r>
      <w:proofErr w:type="gramEnd"/>
      <w:r w:rsidRPr="00C9365D">
        <w:rPr>
          <w:rFonts w:ascii="Arial" w:eastAsia="Times New Roman" w:hAnsi="Arial" w:cs="Arial"/>
          <w:color w:val="000000"/>
          <w:sz w:val="18"/>
          <w:szCs w:val="18"/>
          <w:lang w:val="en-US" w:eastAsia="fr-FR"/>
        </w:rPr>
        <w:t xml:space="preserve"> Must the national civil courts await a decision in the matter by the national regulatory body and, where applicable, if it is contested before the national courts, for that decision to become enforceable?’</w:t>
      </w:r>
    </w:p>
    <w:p w:rsidR="00C9365D" w:rsidRPr="00C9365D" w:rsidRDefault="00C9365D" w:rsidP="00C9365D">
      <w:pPr>
        <w:spacing w:before="480" w:after="240" w:line="240" w:lineRule="auto"/>
        <w:ind w:left="567"/>
        <w:jc w:val="both"/>
        <w:rPr>
          <w:rFonts w:ascii="Arial" w:eastAsia="Times New Roman" w:hAnsi="Arial" w:cs="Arial"/>
          <w:b/>
          <w:bCs/>
          <w:color w:val="000000"/>
          <w:sz w:val="18"/>
          <w:szCs w:val="18"/>
          <w:lang w:val="en-US" w:eastAsia="fr-FR"/>
        </w:rPr>
      </w:pPr>
      <w:r w:rsidRPr="00C9365D">
        <w:rPr>
          <w:rFonts w:ascii="Arial" w:eastAsia="Times New Roman" w:hAnsi="Arial" w:cs="Arial"/>
          <w:b/>
          <w:bCs/>
          <w:color w:val="000000"/>
          <w:sz w:val="18"/>
          <w:szCs w:val="18"/>
          <w:lang w:val="en-US" w:eastAsia="fr-FR"/>
        </w:rPr>
        <w:t> Consideration of the questions referred</w:t>
      </w:r>
    </w:p>
    <w:p w:rsidR="00C9365D" w:rsidRPr="00C9365D" w:rsidRDefault="00C9365D" w:rsidP="00C9365D">
      <w:pPr>
        <w:spacing w:after="240" w:line="240" w:lineRule="auto"/>
        <w:ind w:left="567"/>
        <w:jc w:val="both"/>
        <w:rPr>
          <w:rFonts w:ascii="Arial" w:eastAsia="Times New Roman" w:hAnsi="Arial" w:cs="Arial"/>
          <w:i/>
          <w:iCs/>
          <w:color w:val="000000"/>
          <w:sz w:val="18"/>
          <w:szCs w:val="18"/>
          <w:lang w:val="en-US" w:eastAsia="fr-FR"/>
        </w:rPr>
      </w:pPr>
      <w:r w:rsidRPr="00C9365D">
        <w:rPr>
          <w:rFonts w:ascii="Arial" w:eastAsia="Times New Roman" w:hAnsi="Arial" w:cs="Arial"/>
          <w:i/>
          <w:iCs/>
          <w:color w:val="000000"/>
          <w:sz w:val="18"/>
          <w:szCs w:val="18"/>
          <w:lang w:val="en-US" w:eastAsia="fr-FR"/>
        </w:rPr>
        <w:t> </w:t>
      </w:r>
      <w:r w:rsidRPr="00C9365D">
        <w:rPr>
          <w:rFonts w:ascii="Arial" w:eastAsia="Times New Roman" w:hAnsi="Arial" w:cs="Arial"/>
          <w:b/>
          <w:bCs/>
          <w:i/>
          <w:iCs/>
          <w:color w:val="000000"/>
          <w:sz w:val="18"/>
          <w:szCs w:val="18"/>
          <w:lang w:val="en-US" w:eastAsia="fr-FR"/>
        </w:rPr>
        <w:t>The first question</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r w:rsidRPr="00C9365D">
        <w:rPr>
          <w:rFonts w:ascii="Arial" w:eastAsia="Times New Roman" w:hAnsi="Arial" w:cs="Arial"/>
          <w:i/>
          <w:iCs/>
          <w:color w:val="000000"/>
          <w:sz w:val="18"/>
          <w:szCs w:val="18"/>
          <w:lang w:val="en-US" w:eastAsia="fr-FR"/>
        </w:rPr>
        <w:t>Preliminary observations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37</w:t>
      </w:r>
      <w:r w:rsidRPr="00C9365D">
        <w:rPr>
          <w:rFonts w:ascii="Arial" w:eastAsia="Times New Roman" w:hAnsi="Arial" w:cs="Arial"/>
          <w:color w:val="000000"/>
          <w:sz w:val="18"/>
          <w:szCs w:val="18"/>
          <w:lang w:val="en-US" w:eastAsia="fr-FR"/>
        </w:rPr>
        <w:t>      It should be noted, first of all, that ODEG, a railway undertaking, has applied to the referring court for reimbursement of an alleged overpayment of infrastructure charges to DB Station &amp; Service in respect of services referred to in point 2 of Annex II to Directive 2001/14, namely, in the present case, access to ‘passenger stations’.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38</w:t>
      </w:r>
      <w:r w:rsidRPr="00C9365D">
        <w:rPr>
          <w:rFonts w:ascii="Arial" w:eastAsia="Times New Roman" w:hAnsi="Arial" w:cs="Arial"/>
          <w:color w:val="000000"/>
          <w:sz w:val="18"/>
          <w:szCs w:val="18"/>
          <w:lang w:val="en-US" w:eastAsia="fr-FR"/>
        </w:rPr>
        <w:t xml:space="preserve">      That application concerns only the charges already paid by ODEG, namely between November 2006 and December 2010. On the other hand, that undertaking does not seek modification of the </w:t>
      </w:r>
      <w:proofErr w:type="gramStart"/>
      <w:r w:rsidRPr="00C9365D">
        <w:rPr>
          <w:rFonts w:ascii="Arial" w:eastAsia="Times New Roman" w:hAnsi="Arial" w:cs="Arial"/>
          <w:color w:val="000000"/>
          <w:sz w:val="18"/>
          <w:szCs w:val="18"/>
          <w:lang w:val="en-US" w:eastAsia="fr-FR"/>
        </w:rPr>
        <w:t>charges which</w:t>
      </w:r>
      <w:proofErr w:type="gramEnd"/>
      <w:r w:rsidRPr="00C9365D">
        <w:rPr>
          <w:rFonts w:ascii="Arial" w:eastAsia="Times New Roman" w:hAnsi="Arial" w:cs="Arial"/>
          <w:color w:val="000000"/>
          <w:sz w:val="18"/>
          <w:szCs w:val="18"/>
          <w:lang w:val="en-US" w:eastAsia="fr-FR"/>
        </w:rPr>
        <w:t xml:space="preserve"> it was or still is required to pay since that date.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lastRenderedPageBreak/>
        <w:t>39</w:t>
      </w:r>
      <w:r w:rsidRPr="00C9365D">
        <w:rPr>
          <w:rFonts w:ascii="Arial" w:eastAsia="Times New Roman" w:hAnsi="Arial" w:cs="Arial"/>
          <w:color w:val="000000"/>
          <w:sz w:val="18"/>
          <w:szCs w:val="18"/>
          <w:lang w:val="en-US" w:eastAsia="fr-FR"/>
        </w:rPr>
        <w:t>      Next, by its first question, the referring court asks whether it is possible for national civil courts to apply, on the one hand, Article 102 TFEU and the relevant provisions of national competition law concurrently, and, on the other, exclusively the latter provisions.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40</w:t>
      </w:r>
      <w:r w:rsidRPr="00C9365D">
        <w:rPr>
          <w:rFonts w:ascii="Arial" w:eastAsia="Times New Roman" w:hAnsi="Arial" w:cs="Arial"/>
          <w:color w:val="000000"/>
          <w:sz w:val="18"/>
          <w:szCs w:val="18"/>
          <w:lang w:val="en-US" w:eastAsia="fr-FR"/>
        </w:rPr>
        <w:t>      It should be noted from the outset that, under Article 3(1) of Regulation No 1/2003, where the national competition authorities or national courts apply national competition law to any abuse by an undertaking having a dominant position on the market, which may affect trade between Member States, they must also apply Article 102 TFEU (see, to that effect, judgment of 3 May 2011, </w:t>
      </w:r>
      <w:r w:rsidRPr="00C9365D">
        <w:rPr>
          <w:rFonts w:ascii="Arial" w:eastAsia="Times New Roman" w:hAnsi="Arial" w:cs="Arial"/>
          <w:i/>
          <w:iCs/>
          <w:color w:val="000000"/>
          <w:sz w:val="18"/>
          <w:szCs w:val="18"/>
          <w:lang w:val="en-US" w:eastAsia="fr-FR"/>
        </w:rPr>
        <w:t xml:space="preserve">Tele2 </w:t>
      </w:r>
      <w:proofErr w:type="spellStart"/>
      <w:r w:rsidRPr="00C9365D">
        <w:rPr>
          <w:rFonts w:ascii="Arial" w:eastAsia="Times New Roman" w:hAnsi="Arial" w:cs="Arial"/>
          <w:i/>
          <w:iCs/>
          <w:color w:val="000000"/>
          <w:sz w:val="18"/>
          <w:szCs w:val="18"/>
          <w:lang w:val="en-US" w:eastAsia="fr-FR"/>
        </w:rPr>
        <w:t>Polska</w:t>
      </w:r>
      <w:proofErr w:type="spellEnd"/>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375/09, EU:C:2011:270, paragraph 20).</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41</w:t>
      </w:r>
      <w:r w:rsidRPr="00C9365D">
        <w:rPr>
          <w:rFonts w:ascii="Arial" w:eastAsia="Times New Roman" w:hAnsi="Arial" w:cs="Arial"/>
          <w:color w:val="000000"/>
          <w:sz w:val="18"/>
          <w:szCs w:val="18"/>
          <w:lang w:val="en-US" w:eastAsia="fr-FR"/>
        </w:rPr>
        <w:t>      In this instance, that appears to be the case, according to the information provided by the referring court in its request for a preliminary ruling.</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42</w:t>
      </w:r>
      <w:r w:rsidRPr="00C9365D">
        <w:rPr>
          <w:rFonts w:ascii="Arial" w:eastAsia="Times New Roman" w:hAnsi="Arial" w:cs="Arial"/>
          <w:color w:val="000000"/>
          <w:sz w:val="18"/>
          <w:szCs w:val="18"/>
          <w:lang w:val="en-US" w:eastAsia="fr-FR"/>
        </w:rPr>
        <w:t>      By contrast, it is in no way apparent from the description of the dispute in the main proceedings that that court has the possibility or the intention of applying exclusively the provisions of national competition law, which prohibit the unilateral conduct of an undertaking. Consequently, that part of its question is hypothetical and inadmissible.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43</w:t>
      </w:r>
      <w:r w:rsidRPr="00C9365D">
        <w:rPr>
          <w:rFonts w:ascii="Arial" w:eastAsia="Times New Roman" w:hAnsi="Arial" w:cs="Arial"/>
          <w:color w:val="000000"/>
          <w:sz w:val="18"/>
          <w:szCs w:val="18"/>
          <w:lang w:val="en-US" w:eastAsia="fr-FR"/>
        </w:rPr>
        <w:t>      Lastly, it is apparent from the request for a preliminary ruling that the difficulties of interpretation encountered by the referring court concern, in essence, the relationship between the regulatory body’s powers, determined in Article 30 of Directive 2001/14, and the jurisdiction of the national courts, to apply Article 102 TFEU.</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44</w:t>
      </w:r>
      <w:r w:rsidRPr="00C9365D">
        <w:rPr>
          <w:rFonts w:ascii="Arial" w:eastAsia="Times New Roman" w:hAnsi="Arial" w:cs="Arial"/>
          <w:color w:val="000000"/>
          <w:sz w:val="18"/>
          <w:szCs w:val="18"/>
          <w:lang w:val="en-US" w:eastAsia="fr-FR"/>
        </w:rPr>
        <w:t>      In the light of the foregoing considerations, it must be found that, by its first question, the referring court asks, in essence, whether Article 30 of Directive 2001/14 must be interpreted as precluding national courts from ruling, independently of the monitoring carried out by the competent regulatory body, on a claim for reimbursement of infrastructure charges based on Article 102 TFEU and, concurrently, on national competition law.</w:t>
      </w:r>
      <w:proofErr w:type="gramEnd"/>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r w:rsidRPr="00C9365D">
        <w:rPr>
          <w:rFonts w:ascii="Arial" w:eastAsia="Times New Roman" w:hAnsi="Arial" w:cs="Arial"/>
          <w:i/>
          <w:iCs/>
          <w:color w:val="000000"/>
          <w:sz w:val="18"/>
          <w:szCs w:val="18"/>
          <w:lang w:val="en-US" w:eastAsia="fr-FR"/>
        </w:rPr>
        <w:t>The requirements under Article 102 TFEU</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45</w:t>
      </w:r>
      <w:r w:rsidRPr="00C9365D">
        <w:rPr>
          <w:rFonts w:ascii="Arial" w:eastAsia="Times New Roman" w:hAnsi="Arial" w:cs="Arial"/>
          <w:color w:val="000000"/>
          <w:sz w:val="18"/>
          <w:szCs w:val="18"/>
          <w:lang w:val="en-US" w:eastAsia="fr-FR"/>
        </w:rPr>
        <w:t>      It must be borne in mind that Article 102(a) and (c) TFEU covers abusive practices such as those which directly or indirectly impose unfair purchase or selling prices or other trading conditions and apply dissimilar conditions to equivalent transactions with other trading parties.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46</w:t>
      </w:r>
      <w:r w:rsidRPr="00C9365D">
        <w:rPr>
          <w:rFonts w:ascii="Arial" w:eastAsia="Times New Roman" w:hAnsi="Arial" w:cs="Arial"/>
          <w:color w:val="000000"/>
          <w:sz w:val="18"/>
          <w:szCs w:val="18"/>
          <w:lang w:val="en-US" w:eastAsia="fr-FR"/>
        </w:rPr>
        <w:t>      Article 102 TFEU produces direct effects in relations between individuals and creates rights for the persons concerned, which the national courts must safeguard (see, to that effect, judgments of 30 January 1974, </w:t>
      </w:r>
      <w:r w:rsidRPr="00C9365D">
        <w:rPr>
          <w:rFonts w:ascii="Arial" w:eastAsia="Times New Roman" w:hAnsi="Arial" w:cs="Arial"/>
          <w:i/>
          <w:iCs/>
          <w:color w:val="000000"/>
          <w:sz w:val="18"/>
          <w:szCs w:val="18"/>
          <w:lang w:val="en-US" w:eastAsia="fr-FR"/>
        </w:rPr>
        <w:t xml:space="preserve">BRT and </w:t>
      </w:r>
      <w:proofErr w:type="spellStart"/>
      <w:r w:rsidRPr="00C9365D">
        <w:rPr>
          <w:rFonts w:ascii="Arial" w:eastAsia="Times New Roman" w:hAnsi="Arial" w:cs="Arial"/>
          <w:i/>
          <w:iCs/>
          <w:color w:val="000000"/>
          <w:sz w:val="18"/>
          <w:szCs w:val="18"/>
          <w:lang w:val="en-US" w:eastAsia="fr-FR"/>
        </w:rPr>
        <w:t>Société</w:t>
      </w:r>
      <w:proofErr w:type="spellEnd"/>
      <w:r w:rsidRPr="00C9365D">
        <w:rPr>
          <w:rFonts w:ascii="Arial" w:eastAsia="Times New Roman" w:hAnsi="Arial" w:cs="Arial"/>
          <w:i/>
          <w:iCs/>
          <w:color w:val="000000"/>
          <w:sz w:val="18"/>
          <w:szCs w:val="18"/>
          <w:lang w:val="en-US" w:eastAsia="fr-FR"/>
        </w:rPr>
        <w:t xml:space="preserve"> </w:t>
      </w:r>
      <w:proofErr w:type="spellStart"/>
      <w:r w:rsidRPr="00C9365D">
        <w:rPr>
          <w:rFonts w:ascii="Arial" w:eastAsia="Times New Roman" w:hAnsi="Arial" w:cs="Arial"/>
          <w:i/>
          <w:iCs/>
          <w:color w:val="000000"/>
          <w:sz w:val="18"/>
          <w:szCs w:val="18"/>
          <w:lang w:val="en-US" w:eastAsia="fr-FR"/>
        </w:rPr>
        <w:t>belge</w:t>
      </w:r>
      <w:proofErr w:type="spellEnd"/>
      <w:r w:rsidRPr="00C9365D">
        <w:rPr>
          <w:rFonts w:ascii="Arial" w:eastAsia="Times New Roman" w:hAnsi="Arial" w:cs="Arial"/>
          <w:i/>
          <w:iCs/>
          <w:color w:val="000000"/>
          <w:sz w:val="18"/>
          <w:szCs w:val="18"/>
          <w:lang w:val="en-US" w:eastAsia="fr-FR"/>
        </w:rPr>
        <w:t xml:space="preserve"> des auteurs, </w:t>
      </w:r>
      <w:proofErr w:type="spellStart"/>
      <w:r w:rsidRPr="00C9365D">
        <w:rPr>
          <w:rFonts w:ascii="Arial" w:eastAsia="Times New Roman" w:hAnsi="Arial" w:cs="Arial"/>
          <w:i/>
          <w:iCs/>
          <w:color w:val="000000"/>
          <w:sz w:val="18"/>
          <w:szCs w:val="18"/>
          <w:lang w:val="en-US" w:eastAsia="fr-FR"/>
        </w:rPr>
        <w:t>compositeurs</w:t>
      </w:r>
      <w:proofErr w:type="spellEnd"/>
      <w:r w:rsidRPr="00C9365D">
        <w:rPr>
          <w:rFonts w:ascii="Arial" w:eastAsia="Times New Roman" w:hAnsi="Arial" w:cs="Arial"/>
          <w:i/>
          <w:iCs/>
          <w:color w:val="000000"/>
          <w:sz w:val="18"/>
          <w:szCs w:val="18"/>
          <w:lang w:val="en-US" w:eastAsia="fr-FR"/>
        </w:rPr>
        <w:t xml:space="preserve"> et </w:t>
      </w:r>
      <w:proofErr w:type="spellStart"/>
      <w:r w:rsidRPr="00C9365D">
        <w:rPr>
          <w:rFonts w:ascii="Arial" w:eastAsia="Times New Roman" w:hAnsi="Arial" w:cs="Arial"/>
          <w:i/>
          <w:iCs/>
          <w:color w:val="000000"/>
          <w:sz w:val="18"/>
          <w:szCs w:val="18"/>
          <w:lang w:val="en-US" w:eastAsia="fr-FR"/>
        </w:rPr>
        <w:t>éditeurs</w:t>
      </w:r>
      <w:proofErr w:type="spellEnd"/>
      <w:r w:rsidRPr="00C9365D">
        <w:rPr>
          <w:rFonts w:ascii="Arial" w:eastAsia="Times New Roman" w:hAnsi="Arial" w:cs="Arial"/>
          <w:color w:val="000000"/>
          <w:sz w:val="18"/>
          <w:szCs w:val="18"/>
          <w:lang w:val="en-US" w:eastAsia="fr-FR"/>
        </w:rPr>
        <w:t>, 127/73, EU:C:1974:6, paragraph 16, and of 28 March 2019, </w:t>
      </w:r>
      <w:proofErr w:type="spellStart"/>
      <w:r w:rsidRPr="00C9365D">
        <w:rPr>
          <w:rFonts w:ascii="Arial" w:eastAsia="Times New Roman" w:hAnsi="Arial" w:cs="Arial"/>
          <w:i/>
          <w:iCs/>
          <w:color w:val="000000"/>
          <w:sz w:val="18"/>
          <w:szCs w:val="18"/>
          <w:lang w:val="en-US" w:eastAsia="fr-FR"/>
        </w:rPr>
        <w:t>Cogeco</w:t>
      </w:r>
      <w:proofErr w:type="spellEnd"/>
      <w:r w:rsidRPr="00C9365D">
        <w:rPr>
          <w:rFonts w:ascii="Arial" w:eastAsia="Times New Roman" w:hAnsi="Arial" w:cs="Arial"/>
          <w:i/>
          <w:iCs/>
          <w:color w:val="000000"/>
          <w:sz w:val="18"/>
          <w:szCs w:val="18"/>
          <w:lang w:val="en-US" w:eastAsia="fr-FR"/>
        </w:rPr>
        <w:t xml:space="preserve"> Communications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637/17, EU:C:2019:263, paragraph 38).</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47</w:t>
      </w:r>
      <w:r w:rsidRPr="00C9365D">
        <w:rPr>
          <w:rFonts w:ascii="Arial" w:eastAsia="Times New Roman" w:hAnsi="Arial" w:cs="Arial"/>
          <w:color w:val="000000"/>
          <w:sz w:val="18"/>
          <w:szCs w:val="18"/>
          <w:lang w:val="en-US" w:eastAsia="fr-FR"/>
        </w:rPr>
        <w:t>      The full effectiveness of Article 102 TFEU and, in particular, the practical effect of the prohibition laid down in that article would be put at risk if it were not open to any individual to claim damages for loss caused to him or her by abusive conduct of a dominant undertaking liable to restrict or distort competition (judgment of 28 March 2019, </w:t>
      </w:r>
      <w:proofErr w:type="spellStart"/>
      <w:r w:rsidRPr="00C9365D">
        <w:rPr>
          <w:rFonts w:ascii="Arial" w:eastAsia="Times New Roman" w:hAnsi="Arial" w:cs="Arial"/>
          <w:i/>
          <w:iCs/>
          <w:color w:val="000000"/>
          <w:sz w:val="18"/>
          <w:szCs w:val="18"/>
          <w:lang w:val="en-US" w:eastAsia="fr-FR"/>
        </w:rPr>
        <w:t>Cogeco</w:t>
      </w:r>
      <w:proofErr w:type="spellEnd"/>
      <w:r w:rsidRPr="00C9365D">
        <w:rPr>
          <w:rFonts w:ascii="Arial" w:eastAsia="Times New Roman" w:hAnsi="Arial" w:cs="Arial"/>
          <w:i/>
          <w:iCs/>
          <w:color w:val="000000"/>
          <w:sz w:val="18"/>
          <w:szCs w:val="18"/>
          <w:lang w:val="en-US" w:eastAsia="fr-FR"/>
        </w:rPr>
        <w:t xml:space="preserve"> Communications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637/17, EU:C:2019:263, paragraph 39 and the case-law cited).</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48</w:t>
      </w:r>
      <w:r w:rsidRPr="00C9365D">
        <w:rPr>
          <w:rFonts w:ascii="Arial" w:eastAsia="Times New Roman" w:hAnsi="Arial" w:cs="Arial"/>
          <w:color w:val="000000"/>
          <w:sz w:val="18"/>
          <w:szCs w:val="18"/>
          <w:lang w:val="en-US" w:eastAsia="fr-FR"/>
        </w:rPr>
        <w:t>      It follows that any person can claim compensation for the harm suffered where there is a causal relationship between that harm and an abuse of a dominant position prohibited by Article 102 TFEU (judgment of 28 March 2019, </w:t>
      </w:r>
      <w:proofErr w:type="spellStart"/>
      <w:r w:rsidRPr="00C9365D">
        <w:rPr>
          <w:rFonts w:ascii="Arial" w:eastAsia="Times New Roman" w:hAnsi="Arial" w:cs="Arial"/>
          <w:i/>
          <w:iCs/>
          <w:color w:val="000000"/>
          <w:sz w:val="18"/>
          <w:szCs w:val="18"/>
          <w:lang w:val="en-US" w:eastAsia="fr-FR"/>
        </w:rPr>
        <w:t>Cogeco</w:t>
      </w:r>
      <w:proofErr w:type="spellEnd"/>
      <w:r w:rsidRPr="00C9365D">
        <w:rPr>
          <w:rFonts w:ascii="Arial" w:eastAsia="Times New Roman" w:hAnsi="Arial" w:cs="Arial"/>
          <w:i/>
          <w:iCs/>
          <w:color w:val="000000"/>
          <w:sz w:val="18"/>
          <w:szCs w:val="18"/>
          <w:lang w:val="en-US" w:eastAsia="fr-FR"/>
        </w:rPr>
        <w:t xml:space="preserve"> Communications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637/17, EU:C:2019:263, paragraph 40 and the case-law cited).</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49</w:t>
      </w:r>
      <w:r w:rsidRPr="00C9365D">
        <w:rPr>
          <w:rFonts w:ascii="Arial" w:eastAsia="Times New Roman" w:hAnsi="Arial" w:cs="Arial"/>
          <w:color w:val="000000"/>
          <w:sz w:val="18"/>
          <w:szCs w:val="18"/>
          <w:lang w:val="en-US" w:eastAsia="fr-FR"/>
        </w:rPr>
        <w:t>      The right of any individual to claim compensation for such a loss actually strengthens the working of the European Union competition rules and discourages abuses of a dominant position which are liable to restrict or distort competition, thereby making a significant contribution to the maintenance of effective competition in the European Union (judgment of 28 March 2019, </w:t>
      </w:r>
      <w:proofErr w:type="spellStart"/>
      <w:r w:rsidRPr="00C9365D">
        <w:rPr>
          <w:rFonts w:ascii="Arial" w:eastAsia="Times New Roman" w:hAnsi="Arial" w:cs="Arial"/>
          <w:i/>
          <w:iCs/>
          <w:color w:val="000000"/>
          <w:sz w:val="18"/>
          <w:szCs w:val="18"/>
          <w:lang w:val="en-US" w:eastAsia="fr-FR"/>
        </w:rPr>
        <w:t>Cogeco</w:t>
      </w:r>
      <w:proofErr w:type="spellEnd"/>
      <w:r w:rsidRPr="00C9365D">
        <w:rPr>
          <w:rFonts w:ascii="Arial" w:eastAsia="Times New Roman" w:hAnsi="Arial" w:cs="Arial"/>
          <w:i/>
          <w:iCs/>
          <w:color w:val="000000"/>
          <w:sz w:val="18"/>
          <w:szCs w:val="18"/>
          <w:lang w:val="en-US" w:eastAsia="fr-FR"/>
        </w:rPr>
        <w:t xml:space="preserve"> Communications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637/17, EU:C:2019:263, paragraph 41 and the case-law cited).</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50</w:t>
      </w:r>
      <w:r w:rsidRPr="00C9365D">
        <w:rPr>
          <w:rFonts w:ascii="Arial" w:eastAsia="Times New Roman" w:hAnsi="Arial" w:cs="Arial"/>
          <w:color w:val="000000"/>
          <w:sz w:val="18"/>
          <w:szCs w:val="18"/>
          <w:lang w:val="en-US" w:eastAsia="fr-FR"/>
        </w:rPr>
        <w:t xml:space="preserve">      It is in the light of those considerations that the scope of Article 30(2) of Directive 2001/14 and the resulting requirements for a national court hearing a claim for reimbursement of infrastructure charges </w:t>
      </w:r>
      <w:proofErr w:type="gramStart"/>
      <w:r w:rsidRPr="00C9365D">
        <w:rPr>
          <w:rFonts w:ascii="Arial" w:eastAsia="Times New Roman" w:hAnsi="Arial" w:cs="Arial"/>
          <w:color w:val="000000"/>
          <w:sz w:val="18"/>
          <w:szCs w:val="18"/>
          <w:lang w:val="en-US" w:eastAsia="fr-FR"/>
        </w:rPr>
        <w:t>on the basis of</w:t>
      </w:r>
      <w:proofErr w:type="gramEnd"/>
      <w:r w:rsidRPr="00C9365D">
        <w:rPr>
          <w:rFonts w:ascii="Arial" w:eastAsia="Times New Roman" w:hAnsi="Arial" w:cs="Arial"/>
          <w:color w:val="000000"/>
          <w:sz w:val="18"/>
          <w:szCs w:val="18"/>
          <w:lang w:val="en-US" w:eastAsia="fr-FR"/>
        </w:rPr>
        <w:t xml:space="preserve"> Article 102 TFEU must be examined.</w:t>
      </w:r>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 </w:t>
      </w:r>
      <w:r w:rsidRPr="00C9365D">
        <w:rPr>
          <w:rFonts w:ascii="Arial" w:eastAsia="Times New Roman" w:hAnsi="Arial" w:cs="Arial"/>
          <w:i/>
          <w:iCs/>
          <w:color w:val="000000"/>
          <w:sz w:val="18"/>
          <w:szCs w:val="18"/>
          <w:lang w:val="en-US" w:eastAsia="fr-FR"/>
        </w:rPr>
        <w:t>The scope of Article 30(2) of Directive 2001/14</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51</w:t>
      </w:r>
      <w:r w:rsidRPr="00C9365D">
        <w:rPr>
          <w:rFonts w:ascii="Arial" w:eastAsia="Times New Roman" w:hAnsi="Arial" w:cs="Arial"/>
          <w:color w:val="000000"/>
          <w:sz w:val="18"/>
          <w:szCs w:val="18"/>
          <w:lang w:val="en-US" w:eastAsia="fr-FR"/>
        </w:rPr>
        <w:t xml:space="preserve">      In the first place, with regard to the regulatory body, recital 46 of Directive 2001/14 states that the efficient management and fair and non-discriminatory use of rail infrastructure require the establishment of a </w:t>
      </w:r>
      <w:r w:rsidRPr="00C9365D">
        <w:rPr>
          <w:rFonts w:ascii="Arial" w:eastAsia="Times New Roman" w:hAnsi="Arial" w:cs="Arial"/>
          <w:color w:val="000000"/>
          <w:sz w:val="18"/>
          <w:szCs w:val="18"/>
          <w:lang w:val="en-US" w:eastAsia="fr-FR"/>
        </w:rPr>
        <w:lastRenderedPageBreak/>
        <w:t>regulatory body that oversees the application of the EU rules and acts as an appeal body, notwithstanding the possibility of judicial review.</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52</w:t>
      </w:r>
      <w:r w:rsidRPr="00C9365D">
        <w:rPr>
          <w:rFonts w:ascii="Arial" w:eastAsia="Times New Roman" w:hAnsi="Arial" w:cs="Arial"/>
          <w:color w:val="000000"/>
          <w:sz w:val="18"/>
          <w:szCs w:val="18"/>
          <w:lang w:val="en-US" w:eastAsia="fr-FR"/>
        </w:rPr>
        <w:t>      In accordance with Article 30(1) of that directive, Member States are required to establish such a body, to which, by virtue of Article 30(2) thereof, an applicant may have a right to appeal if it considers itself to be ‘unfairly treated, discriminated against or is in any other way aggrieved’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paragraph 56).</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53</w:t>
      </w:r>
      <w:r w:rsidRPr="00C9365D">
        <w:rPr>
          <w:rFonts w:ascii="Arial" w:eastAsia="Times New Roman" w:hAnsi="Arial" w:cs="Arial"/>
          <w:color w:val="000000"/>
          <w:sz w:val="18"/>
          <w:szCs w:val="18"/>
          <w:lang w:val="en-US" w:eastAsia="fr-FR"/>
        </w:rPr>
        <w:t xml:space="preserve">      Thus, </w:t>
      </w:r>
      <w:proofErr w:type="gramStart"/>
      <w:r w:rsidRPr="00C9365D">
        <w:rPr>
          <w:rFonts w:ascii="Arial" w:eastAsia="Times New Roman" w:hAnsi="Arial" w:cs="Arial"/>
          <w:color w:val="000000"/>
          <w:sz w:val="18"/>
          <w:szCs w:val="18"/>
          <w:lang w:val="en-US" w:eastAsia="fr-FR"/>
        </w:rPr>
        <w:t>first of all</w:t>
      </w:r>
      <w:proofErr w:type="gramEnd"/>
      <w:r w:rsidRPr="00C9365D">
        <w:rPr>
          <w:rFonts w:ascii="Arial" w:eastAsia="Times New Roman" w:hAnsi="Arial" w:cs="Arial"/>
          <w:color w:val="000000"/>
          <w:sz w:val="18"/>
          <w:szCs w:val="18"/>
          <w:lang w:val="en-US" w:eastAsia="fr-FR"/>
        </w:rPr>
        <w:t>, the legal remedy provided for in Article 30(2) of Directive 2001/14 is available only to ‘applicants’. The latter concept, defined in Article 2(b) of that directive, covers, inter alia, any licensed railway undertaking (see, to that effect, judgment of 24 February 2022,</w:t>
      </w:r>
      <w:r w:rsidRPr="00C9365D">
        <w:rPr>
          <w:rFonts w:ascii="Arial" w:eastAsia="Times New Roman" w:hAnsi="Arial" w:cs="Arial"/>
          <w:i/>
          <w:iCs/>
          <w:color w:val="000000"/>
          <w:sz w:val="18"/>
          <w:szCs w:val="18"/>
          <w:lang w:val="en-US" w:eastAsia="fr-FR"/>
        </w:rPr>
        <w:t xml:space="preserve"> ORLEN </w:t>
      </w:r>
      <w:proofErr w:type="spellStart"/>
      <w:r w:rsidRPr="00C9365D">
        <w:rPr>
          <w:rFonts w:ascii="Arial" w:eastAsia="Times New Roman" w:hAnsi="Arial" w:cs="Arial"/>
          <w:i/>
          <w:iCs/>
          <w:color w:val="000000"/>
          <w:sz w:val="18"/>
          <w:szCs w:val="18"/>
          <w:lang w:val="en-US" w:eastAsia="fr-FR"/>
        </w:rPr>
        <w:t>KolTrans</w:t>
      </w:r>
      <w:proofErr w:type="spellEnd"/>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563/20, EU:C:2022:113, paragraph 55) and other persons or legal entities with public-service or commercial interest in procuring infrastructure capacity.</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54</w:t>
      </w:r>
      <w:r w:rsidRPr="00C9365D">
        <w:rPr>
          <w:rFonts w:ascii="Arial" w:eastAsia="Times New Roman" w:hAnsi="Arial" w:cs="Arial"/>
          <w:color w:val="000000"/>
          <w:sz w:val="18"/>
          <w:szCs w:val="18"/>
          <w:lang w:val="en-US" w:eastAsia="fr-FR"/>
        </w:rPr>
        <w:t>      Next, it is apparent from the list set out in Article 30(2)(a) to (f) of Directive 2001/14 that that appeal encompasses decisions and conduct of infrastructure managers or, where appropriate, railway undertakings, in so far as they concern access to the railway infrastructure, including the services referred to in point 2 of Annex II to that directive.</w:t>
      </w:r>
      <w:proofErr w:type="gramEnd"/>
      <w:r w:rsidRPr="00C9365D">
        <w:rPr>
          <w:rFonts w:ascii="Arial" w:eastAsia="Times New Roman" w:hAnsi="Arial" w:cs="Arial"/>
          <w:color w:val="000000"/>
          <w:sz w:val="18"/>
          <w:szCs w:val="18"/>
          <w:lang w:val="en-US" w:eastAsia="fr-FR"/>
        </w:rPr>
        <w:t xml:space="preserve"> In particular, in accordance with Article 30(2</w:t>
      </w:r>
      <w:proofErr w:type="gramStart"/>
      <w:r w:rsidRPr="00C9365D">
        <w:rPr>
          <w:rFonts w:ascii="Arial" w:eastAsia="Times New Roman" w:hAnsi="Arial" w:cs="Arial"/>
          <w:color w:val="000000"/>
          <w:sz w:val="18"/>
          <w:szCs w:val="18"/>
          <w:lang w:val="en-US" w:eastAsia="fr-FR"/>
        </w:rPr>
        <w:t>)(</w:t>
      </w:r>
      <w:proofErr w:type="gramEnd"/>
      <w:r w:rsidRPr="00C9365D">
        <w:rPr>
          <w:rFonts w:ascii="Arial" w:eastAsia="Times New Roman" w:hAnsi="Arial" w:cs="Arial"/>
          <w:color w:val="000000"/>
          <w:sz w:val="18"/>
          <w:szCs w:val="18"/>
          <w:lang w:val="en-US" w:eastAsia="fr-FR"/>
        </w:rPr>
        <w:t>d) and (e), decisions relating to the charging scheme or to the level or structure of charges for the use of infrastructure which an applicant is or may be required to pay may be challenged.</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55</w:t>
      </w:r>
      <w:r w:rsidRPr="00C9365D">
        <w:rPr>
          <w:rFonts w:ascii="Arial" w:eastAsia="Times New Roman" w:hAnsi="Arial" w:cs="Arial"/>
          <w:color w:val="000000"/>
          <w:sz w:val="18"/>
          <w:szCs w:val="18"/>
          <w:lang w:val="en-US" w:eastAsia="fr-FR"/>
        </w:rPr>
        <w:t>      Lastly, it must be borne in mind that the competence of the regulatory body to hear and determine an appeal provided for in Article 30(2) is exclusive, subject, where appropriate, to subsequent review by the national courts called upon to rule on actions brought against its decisions (see, to that effect,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paragraph 86).</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56</w:t>
      </w:r>
      <w:r w:rsidRPr="00C9365D">
        <w:rPr>
          <w:rFonts w:ascii="Arial" w:eastAsia="Times New Roman" w:hAnsi="Arial" w:cs="Arial"/>
          <w:color w:val="000000"/>
          <w:sz w:val="18"/>
          <w:szCs w:val="18"/>
          <w:lang w:val="en-US" w:eastAsia="fr-FR"/>
        </w:rPr>
        <w:t>      Applicants are thus required to apply to that body when they seek compensation for any damage related to the infrastructure charges set by an infrastructure manager or by a service operator referred to in point 2 of Annex II to Directive 2001/14.</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57</w:t>
      </w:r>
      <w:r w:rsidRPr="00C9365D">
        <w:rPr>
          <w:rFonts w:ascii="Arial" w:eastAsia="Times New Roman" w:hAnsi="Arial" w:cs="Arial"/>
          <w:color w:val="000000"/>
          <w:sz w:val="18"/>
          <w:szCs w:val="18"/>
          <w:lang w:val="en-US" w:eastAsia="fr-FR"/>
        </w:rPr>
        <w:t xml:space="preserve">      In the second place, it </w:t>
      </w:r>
      <w:proofErr w:type="gramStart"/>
      <w:r w:rsidRPr="00C9365D">
        <w:rPr>
          <w:rFonts w:ascii="Arial" w:eastAsia="Times New Roman" w:hAnsi="Arial" w:cs="Arial"/>
          <w:color w:val="000000"/>
          <w:sz w:val="18"/>
          <w:szCs w:val="18"/>
          <w:lang w:val="en-US" w:eastAsia="fr-FR"/>
        </w:rPr>
        <w:t>should be noted</w:t>
      </w:r>
      <w:proofErr w:type="gramEnd"/>
      <w:r w:rsidRPr="00C9365D">
        <w:rPr>
          <w:rFonts w:ascii="Arial" w:eastAsia="Times New Roman" w:hAnsi="Arial" w:cs="Arial"/>
          <w:color w:val="000000"/>
          <w:sz w:val="18"/>
          <w:szCs w:val="18"/>
          <w:lang w:val="en-US" w:eastAsia="fr-FR"/>
        </w:rPr>
        <w:t xml:space="preserve"> that the exclusive competence of the regulatory body to hear and determine any dispute falling within Article 30(2) of Directive 2001/14 is closely linked to the technical constraints specific to the railway sector.</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58</w:t>
      </w:r>
      <w:r w:rsidRPr="00C9365D">
        <w:rPr>
          <w:rFonts w:ascii="Arial" w:eastAsia="Times New Roman" w:hAnsi="Arial" w:cs="Arial"/>
          <w:color w:val="000000"/>
          <w:sz w:val="18"/>
          <w:szCs w:val="18"/>
          <w:lang w:val="en-US" w:eastAsia="fr-FR"/>
        </w:rPr>
        <w:t xml:space="preserve">      As the EU legislature pointed out, inter alia, in recital 40 of Directive 2001/14, railway infrastructure is a natural monopoly. Its limited capacities can be used only by a determined number of undertakings in keeping with the </w:t>
      </w:r>
      <w:proofErr w:type="gramStart"/>
      <w:r w:rsidRPr="00C9365D">
        <w:rPr>
          <w:rFonts w:ascii="Arial" w:eastAsia="Times New Roman" w:hAnsi="Arial" w:cs="Arial"/>
          <w:color w:val="000000"/>
          <w:sz w:val="18"/>
          <w:szCs w:val="18"/>
          <w:lang w:val="en-US" w:eastAsia="fr-FR"/>
        </w:rPr>
        <w:t>slots which</w:t>
      </w:r>
      <w:proofErr w:type="gramEnd"/>
      <w:r w:rsidRPr="00C9365D">
        <w:rPr>
          <w:rFonts w:ascii="Arial" w:eastAsia="Times New Roman" w:hAnsi="Arial" w:cs="Arial"/>
          <w:color w:val="000000"/>
          <w:sz w:val="18"/>
          <w:szCs w:val="18"/>
          <w:lang w:val="en-US" w:eastAsia="fr-FR"/>
        </w:rPr>
        <w:t xml:space="preserve"> have been attributed to them by the managers of that infrastructure, namely, the bodies or undertakings responsible, in particular, for </w:t>
      </w:r>
      <w:proofErr w:type="spellStart"/>
      <w:r w:rsidRPr="00C9365D">
        <w:rPr>
          <w:rFonts w:ascii="Arial" w:eastAsia="Times New Roman" w:hAnsi="Arial" w:cs="Arial"/>
          <w:color w:val="000000"/>
          <w:sz w:val="18"/>
          <w:szCs w:val="18"/>
          <w:lang w:val="en-US" w:eastAsia="fr-FR"/>
        </w:rPr>
        <w:t>organising</w:t>
      </w:r>
      <w:proofErr w:type="spellEnd"/>
      <w:r w:rsidRPr="00C9365D">
        <w:rPr>
          <w:rFonts w:ascii="Arial" w:eastAsia="Times New Roman" w:hAnsi="Arial" w:cs="Arial"/>
          <w:color w:val="000000"/>
          <w:sz w:val="18"/>
          <w:szCs w:val="18"/>
          <w:lang w:val="en-US" w:eastAsia="fr-FR"/>
        </w:rPr>
        <w:t xml:space="preserve"> access to it. The latter are therefore by construction, in a dominant position in relation to railway undertakings.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59</w:t>
      </w:r>
      <w:r w:rsidRPr="00C9365D">
        <w:rPr>
          <w:rFonts w:ascii="Arial" w:eastAsia="Times New Roman" w:hAnsi="Arial" w:cs="Arial"/>
          <w:color w:val="000000"/>
          <w:sz w:val="18"/>
          <w:szCs w:val="18"/>
          <w:lang w:val="en-US" w:eastAsia="fr-FR"/>
        </w:rPr>
        <w:t xml:space="preserve">      From that point of view, as is apparent, in particular, from recitals 5 and 11 thereof, Directive 2001/14 </w:t>
      </w:r>
      <w:proofErr w:type="gramStart"/>
      <w:r w:rsidRPr="00C9365D">
        <w:rPr>
          <w:rFonts w:ascii="Arial" w:eastAsia="Times New Roman" w:hAnsi="Arial" w:cs="Arial"/>
          <w:color w:val="000000"/>
          <w:sz w:val="18"/>
          <w:szCs w:val="18"/>
          <w:lang w:val="en-US" w:eastAsia="fr-FR"/>
        </w:rPr>
        <w:t>is intended</w:t>
      </w:r>
      <w:proofErr w:type="gramEnd"/>
      <w:r w:rsidRPr="00C9365D">
        <w:rPr>
          <w:rFonts w:ascii="Arial" w:eastAsia="Times New Roman" w:hAnsi="Arial" w:cs="Arial"/>
          <w:color w:val="000000"/>
          <w:sz w:val="18"/>
          <w:szCs w:val="18"/>
          <w:lang w:val="en-US" w:eastAsia="fr-FR"/>
        </w:rPr>
        <w:t xml:space="preserve"> to ensure non-discriminatory access to the railway infrastructure. Recital 16 of that directive states, in that regard, that charging and capacity allocation schemes should allow for fair competition in the provision of railway services (see, to that effect,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paragraphs 36 and 37).</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60</w:t>
      </w:r>
      <w:r w:rsidRPr="00C9365D">
        <w:rPr>
          <w:rFonts w:ascii="Arial" w:eastAsia="Times New Roman" w:hAnsi="Arial" w:cs="Arial"/>
          <w:color w:val="000000"/>
          <w:sz w:val="18"/>
          <w:szCs w:val="18"/>
          <w:lang w:val="en-US" w:eastAsia="fr-FR"/>
        </w:rPr>
        <w:t>      As is apparent from the case-law of the Court, the exclusive competence attributed to rail regulatory bodies is justified by those objectives themselves (see, to that effect, judgment of 9 November 2017,</w:t>
      </w:r>
      <w:r w:rsidRPr="00C9365D">
        <w:rPr>
          <w:rFonts w:ascii="Arial" w:eastAsia="Times New Roman" w:hAnsi="Arial" w:cs="Arial"/>
          <w:i/>
          <w:iCs/>
          <w:color w:val="000000"/>
          <w:sz w:val="18"/>
          <w:szCs w:val="18"/>
          <w:lang w:val="en-US" w:eastAsia="fr-FR"/>
        </w:rPr>
        <w:t> 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paragraph 87) and implies the specific powers conferred on them by Article 30(2), (3) and (5) of Directive 2001/14.</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61</w:t>
      </w:r>
      <w:r w:rsidRPr="00C9365D">
        <w:rPr>
          <w:rFonts w:ascii="Arial" w:eastAsia="Times New Roman" w:hAnsi="Arial" w:cs="Arial"/>
          <w:color w:val="000000"/>
          <w:sz w:val="18"/>
          <w:szCs w:val="18"/>
          <w:lang w:val="en-US" w:eastAsia="fr-FR"/>
        </w:rPr>
        <w:t>      Those powers enable the regulatory bodies to achieve those objectives and to meet the technical requirements of the railway infrastructure, referred to in paragraph 58 above.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62</w:t>
      </w:r>
      <w:r w:rsidRPr="00C9365D">
        <w:rPr>
          <w:rFonts w:ascii="Arial" w:eastAsia="Times New Roman" w:hAnsi="Arial" w:cs="Arial"/>
          <w:color w:val="000000"/>
          <w:sz w:val="18"/>
          <w:szCs w:val="18"/>
          <w:lang w:val="en-US" w:eastAsia="fr-FR"/>
        </w:rPr>
        <w:t>      In that regard, as far as Directive 2012/34 is concerned, which repealed and replaced Directive 2001/14, the Court has held that the regulatory body’s power to monitor the application of the rules laid down by that directive may be exercised of its own motion and is not therefore subject to the lodging of a complaint or an appeal.</w:t>
      </w:r>
      <w:proofErr w:type="gramEnd"/>
      <w:r w:rsidRPr="00C9365D">
        <w:rPr>
          <w:rFonts w:ascii="Arial" w:eastAsia="Times New Roman" w:hAnsi="Arial" w:cs="Arial"/>
          <w:color w:val="000000"/>
          <w:sz w:val="18"/>
          <w:szCs w:val="18"/>
          <w:lang w:val="en-US" w:eastAsia="fr-FR"/>
        </w:rPr>
        <w:t xml:space="preserve"> </w:t>
      </w:r>
      <w:proofErr w:type="gramStart"/>
      <w:r w:rsidRPr="00C9365D">
        <w:rPr>
          <w:rFonts w:ascii="Arial" w:eastAsia="Times New Roman" w:hAnsi="Arial" w:cs="Arial"/>
          <w:color w:val="000000"/>
          <w:sz w:val="18"/>
          <w:szCs w:val="18"/>
          <w:lang w:val="en-US" w:eastAsia="fr-FR"/>
        </w:rPr>
        <w:t>It also stated that the efficient management and fair and non-discriminatory use of the rail infrastructure, which underpins that directive, requires the establishment of an authority which is responsible both for overseeing, on its own initiative, the application by the stakeholders in the railway sector of the rules laid down in that directive and for acting as an appeal body (see, to that effect, judgment of 3 May 2022, </w:t>
      </w:r>
      <w:r w:rsidRPr="00C9365D">
        <w:rPr>
          <w:rFonts w:ascii="Arial" w:eastAsia="Times New Roman" w:hAnsi="Arial" w:cs="Arial"/>
          <w:i/>
          <w:iCs/>
          <w:color w:val="000000"/>
          <w:sz w:val="18"/>
          <w:szCs w:val="18"/>
          <w:lang w:val="en-US" w:eastAsia="fr-FR"/>
        </w:rPr>
        <w:t>CityRail</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453/20, EU:C:2022:341, paragraphs 57 and 60).</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lastRenderedPageBreak/>
        <w:t>63</w:t>
      </w:r>
      <w:r w:rsidRPr="00C9365D">
        <w:rPr>
          <w:rFonts w:ascii="Arial" w:eastAsia="Times New Roman" w:hAnsi="Arial" w:cs="Arial"/>
          <w:color w:val="000000"/>
          <w:sz w:val="18"/>
          <w:szCs w:val="18"/>
          <w:lang w:val="en-US" w:eastAsia="fr-FR"/>
        </w:rPr>
        <w:t>      Thus, where an appeal is brought before a national regulatory body established under Article 55 of Directive 2012/34, that circumstance is without prejudice to the competence of that body to take, if necessary of its own motion, appropriate measures to remedy any infringement of the applicable rules (see, to that effect, judgment of 3 May 2022, </w:t>
      </w:r>
      <w:r w:rsidRPr="00C9365D">
        <w:rPr>
          <w:rFonts w:ascii="Arial" w:eastAsia="Times New Roman" w:hAnsi="Arial" w:cs="Arial"/>
          <w:i/>
          <w:iCs/>
          <w:color w:val="000000"/>
          <w:sz w:val="18"/>
          <w:szCs w:val="18"/>
          <w:lang w:val="en-US" w:eastAsia="fr-FR"/>
        </w:rPr>
        <w:t>CityRail</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453/20, EU:C:2022:341, paragraph 61).</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64</w:t>
      </w:r>
      <w:r w:rsidRPr="00C9365D">
        <w:rPr>
          <w:rFonts w:ascii="Arial" w:eastAsia="Times New Roman" w:hAnsi="Arial" w:cs="Arial"/>
          <w:color w:val="000000"/>
          <w:sz w:val="18"/>
          <w:szCs w:val="18"/>
          <w:lang w:val="en-US" w:eastAsia="fr-FR"/>
        </w:rPr>
        <w:t>      Those considerations also apply to Directive 2001/14, Article 30 of which essentially corresponds to Article 56 of Directive 2012/34, referred to in paragraphs 57, 60 and 61 of the judgment of 3 May 2022, </w:t>
      </w:r>
      <w:r w:rsidRPr="00C9365D">
        <w:rPr>
          <w:rFonts w:ascii="Arial" w:eastAsia="Times New Roman" w:hAnsi="Arial" w:cs="Arial"/>
          <w:i/>
          <w:iCs/>
          <w:color w:val="000000"/>
          <w:sz w:val="18"/>
          <w:szCs w:val="18"/>
          <w:lang w:val="en-US" w:eastAsia="fr-FR"/>
        </w:rPr>
        <w:t>CityRail</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453/20, EU:C:2022:341).</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65</w:t>
      </w:r>
      <w:r w:rsidRPr="00C9365D">
        <w:rPr>
          <w:rFonts w:ascii="Arial" w:eastAsia="Times New Roman" w:hAnsi="Arial" w:cs="Arial"/>
          <w:color w:val="000000"/>
          <w:sz w:val="18"/>
          <w:szCs w:val="18"/>
          <w:lang w:val="en-US" w:eastAsia="fr-FR"/>
        </w:rPr>
        <w:t>      It follows, in particular, that, in accordance with Article 30(2) and (3) of Directive 2001/14, the regulatory body is responsible both for acting as an appeal body and for overseeing, on its own initiative, the application by stakeholders in the railway sector of the rules laid down by that directive. In accordance with Article 30(5) of that directive, it is competent to take any measures necessary to remedy infringements of that directive, if necessary of its own motion.</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66</w:t>
      </w:r>
      <w:r w:rsidRPr="00C9365D">
        <w:rPr>
          <w:rFonts w:ascii="Arial" w:eastAsia="Times New Roman" w:hAnsi="Arial" w:cs="Arial"/>
          <w:color w:val="000000"/>
          <w:sz w:val="18"/>
          <w:szCs w:val="18"/>
          <w:lang w:val="en-US" w:eastAsia="fr-FR"/>
        </w:rPr>
        <w:t>      In addition, the latter provision provides that the effects of decisions adopted by the regulatory body are not limited solely to the parties to a dispute before it, but are binding on all relevant parties in the rail sector, whether transport undertakings or infrastructure managers. In that way, the regulatory body is able to ensure equal access to the infrastructure of all the undertakings concerned and to ensure fair competition in the sector of the provision of railway services (see, to that effect,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paragraphs 94 and 96).</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67</w:t>
      </w:r>
      <w:r w:rsidRPr="00C9365D">
        <w:rPr>
          <w:rFonts w:ascii="Arial" w:eastAsia="Times New Roman" w:hAnsi="Arial" w:cs="Arial"/>
          <w:color w:val="000000"/>
          <w:sz w:val="18"/>
          <w:szCs w:val="18"/>
          <w:lang w:val="en-US" w:eastAsia="fr-FR"/>
        </w:rPr>
        <w:t>      In the third place, the appeal provided for in Article 30(2) of Directive 2001/14, followed, where appropriate, by judicial review of decisions given by the regulatory body in that context, ensures compliance with Article 102 TFEU prohibiting abuse of a dominant position.</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68</w:t>
      </w:r>
      <w:r w:rsidRPr="00C9365D">
        <w:rPr>
          <w:rFonts w:ascii="Arial" w:eastAsia="Times New Roman" w:hAnsi="Arial" w:cs="Arial"/>
          <w:color w:val="000000"/>
          <w:sz w:val="18"/>
          <w:szCs w:val="18"/>
          <w:lang w:val="en-US" w:eastAsia="fr-FR"/>
        </w:rPr>
        <w:t>      Indeed, it follows from the very objectives of Directive 2001/14, which seek to guarantee non-discriminatory access to infrastructure under fair conditions of competition, and from the obligations imposed, from that point of view, on infrastructure managers, that railway undertakings may invoke, before the regulatory body, an infringement of Article 102 TFEU.</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69</w:t>
      </w:r>
      <w:r w:rsidRPr="00C9365D">
        <w:rPr>
          <w:rFonts w:ascii="Arial" w:eastAsia="Times New Roman" w:hAnsi="Arial" w:cs="Arial"/>
          <w:color w:val="000000"/>
          <w:sz w:val="18"/>
          <w:szCs w:val="18"/>
          <w:lang w:val="en-US" w:eastAsia="fr-FR"/>
        </w:rPr>
        <w:t>      The substantive rules laid down by Directive 2001/14, in particular as regards the determination of infrastructure charges, including the tariffs, which apply to the services referred to in point </w:t>
      </w:r>
      <w:proofErr w:type="gramStart"/>
      <w:r w:rsidRPr="00C9365D">
        <w:rPr>
          <w:rFonts w:ascii="Arial" w:eastAsia="Times New Roman" w:hAnsi="Arial" w:cs="Arial"/>
          <w:color w:val="000000"/>
          <w:sz w:val="18"/>
          <w:szCs w:val="18"/>
          <w:lang w:val="en-US" w:eastAsia="fr-FR"/>
        </w:rPr>
        <w:t>2</w:t>
      </w:r>
      <w:proofErr w:type="gramEnd"/>
      <w:r w:rsidRPr="00C9365D">
        <w:rPr>
          <w:rFonts w:ascii="Arial" w:eastAsia="Times New Roman" w:hAnsi="Arial" w:cs="Arial"/>
          <w:color w:val="000000"/>
          <w:sz w:val="18"/>
          <w:szCs w:val="18"/>
          <w:lang w:val="en-US" w:eastAsia="fr-FR"/>
        </w:rPr>
        <w:t xml:space="preserve"> of Annex II to that directive, contribute to ensuring the objectives pursued by Article 102 TFEU.</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70</w:t>
      </w:r>
      <w:r w:rsidRPr="00C9365D">
        <w:rPr>
          <w:rFonts w:ascii="Arial" w:eastAsia="Times New Roman" w:hAnsi="Arial" w:cs="Arial"/>
          <w:color w:val="000000"/>
          <w:sz w:val="18"/>
          <w:szCs w:val="18"/>
          <w:lang w:val="en-US" w:eastAsia="fr-FR"/>
        </w:rPr>
        <w:t>      In that regard, the Court has repeatedly held that it is for infrastructure managers, who are required to set up and collect charges in a non-discriminatory manner, not only to apply the rail network conditions of use in an equal manner to all users of that network, but also to ensure that the charges actually received meet those conditions (judgment of 24 February 2022, </w:t>
      </w:r>
      <w:r w:rsidRPr="00C9365D">
        <w:rPr>
          <w:rFonts w:ascii="Arial" w:eastAsia="Times New Roman" w:hAnsi="Arial" w:cs="Arial"/>
          <w:i/>
          <w:iCs/>
          <w:color w:val="000000"/>
          <w:sz w:val="18"/>
          <w:szCs w:val="18"/>
          <w:lang w:val="en-US" w:eastAsia="fr-FR"/>
        </w:rPr>
        <w:t xml:space="preserve">ORLEN </w:t>
      </w:r>
      <w:proofErr w:type="spellStart"/>
      <w:r w:rsidRPr="00C9365D">
        <w:rPr>
          <w:rFonts w:ascii="Arial" w:eastAsia="Times New Roman" w:hAnsi="Arial" w:cs="Arial"/>
          <w:i/>
          <w:iCs/>
          <w:color w:val="000000"/>
          <w:sz w:val="18"/>
          <w:szCs w:val="18"/>
          <w:lang w:val="en-US" w:eastAsia="fr-FR"/>
        </w:rPr>
        <w:t>KolTrans</w:t>
      </w:r>
      <w:proofErr w:type="spellEnd"/>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563/20, EU:C:2022:113, paragraph 53 and the case-law cited).</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71</w:t>
      </w:r>
      <w:r w:rsidRPr="00C9365D">
        <w:rPr>
          <w:rFonts w:ascii="Arial" w:eastAsia="Times New Roman" w:hAnsi="Arial" w:cs="Arial"/>
          <w:color w:val="000000"/>
          <w:sz w:val="18"/>
          <w:szCs w:val="18"/>
          <w:lang w:val="en-US" w:eastAsia="fr-FR"/>
        </w:rPr>
        <w:t>      Furthermore, as is apparent from Articles 9, 17 and 24 of Directive 2001/14, the application of the provisions on access to the railway infrastructure is without prejudice to the rules on competition deriving directly from the FEU Treaty, in particular from Article 102 TFEU. Thus, the EU legislature intended to confirm that infrastructure managers are required to comply with those rules of primary EU law when taking decisions on capacity allocation and infrastructure charges.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C9365D">
        <w:rPr>
          <w:rFonts w:ascii="Arial" w:eastAsia="Times New Roman" w:hAnsi="Arial" w:cs="Arial"/>
          <w:color w:val="006699"/>
          <w:sz w:val="18"/>
          <w:szCs w:val="18"/>
          <w:lang w:val="en-US" w:eastAsia="fr-FR"/>
        </w:rPr>
        <w:t>72</w:t>
      </w:r>
      <w:r w:rsidRPr="00C9365D">
        <w:rPr>
          <w:rFonts w:ascii="Arial" w:eastAsia="Times New Roman" w:hAnsi="Arial" w:cs="Arial"/>
          <w:color w:val="000000"/>
          <w:sz w:val="18"/>
          <w:szCs w:val="18"/>
          <w:lang w:val="en-US" w:eastAsia="fr-FR"/>
        </w:rPr>
        <w:t>      That finding applies in particular to the services referred to in point 2 of Annex II to Directive 2001/14. Indeed, it follows from Article 5(1) and Article 7(7) of that directive not only that those services must be provided in a non-discriminatory manner, but also that, in order to determine the applicable tariffs, account must be taken of the competitive situation of rail transport.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73</w:t>
      </w:r>
      <w:r w:rsidRPr="00C9365D">
        <w:rPr>
          <w:rFonts w:ascii="Arial" w:eastAsia="Times New Roman" w:hAnsi="Arial" w:cs="Arial"/>
          <w:color w:val="000000"/>
          <w:sz w:val="18"/>
          <w:szCs w:val="18"/>
          <w:lang w:val="en-US" w:eastAsia="fr-FR"/>
        </w:rPr>
        <w:t>      In those circumstances, where an appeal has been brought before it by a railway undertaking, the regulatory body, whose task it is to ensure that both infrastructure managers and railway service operators comply with their respective obligations, is required to examine, in the words of Article 30(2) of Directive 2001/14, unfair or discriminatory treatment and any other harm, which includes issues relating both to the levying of infrastructure or service charges and to competition.</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C9365D">
        <w:rPr>
          <w:rFonts w:ascii="Arial" w:eastAsia="Times New Roman" w:hAnsi="Arial" w:cs="Arial"/>
          <w:color w:val="006699"/>
          <w:sz w:val="18"/>
          <w:szCs w:val="18"/>
          <w:lang w:val="en-US" w:eastAsia="fr-FR"/>
        </w:rPr>
        <w:t>74</w:t>
      </w:r>
      <w:r w:rsidRPr="00C9365D">
        <w:rPr>
          <w:rFonts w:ascii="Arial" w:eastAsia="Times New Roman" w:hAnsi="Arial" w:cs="Arial"/>
          <w:color w:val="000000"/>
          <w:sz w:val="18"/>
          <w:szCs w:val="18"/>
          <w:lang w:val="en-US" w:eastAsia="fr-FR"/>
        </w:rPr>
        <w:t>      It follows that, where an appeal has been brought before it on the basis of Article 30(2) of Directive 2001/14, the competent national regulatory body cannot properly decline its competence to hear and determine an alleged infringement of Article 102 TFEU on the ground that a provision of national law, such as Paragraph 14f of the AEG, does not allow it to rule on the lawfulness of the infrastructure charges already levied.</w:t>
      </w:r>
      <w:proofErr w:type="gramEnd"/>
    </w:p>
    <w:p w:rsidR="00C9365D" w:rsidRPr="00C9365D" w:rsidRDefault="00C9365D" w:rsidP="00C9365D">
      <w:pPr>
        <w:spacing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lastRenderedPageBreak/>
        <w:t> </w:t>
      </w:r>
      <w:r w:rsidRPr="00C9365D">
        <w:rPr>
          <w:rFonts w:ascii="Arial" w:eastAsia="Times New Roman" w:hAnsi="Arial" w:cs="Arial"/>
          <w:i/>
          <w:iCs/>
          <w:color w:val="000000"/>
          <w:sz w:val="18"/>
          <w:szCs w:val="18"/>
          <w:lang w:val="en-US" w:eastAsia="fr-FR"/>
        </w:rPr>
        <w:t>The relationship between appeals before the regulatory body and actions before the national courts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6" w:name="point75"/>
      <w:proofErr w:type="gramStart"/>
      <w:r w:rsidRPr="00C9365D">
        <w:rPr>
          <w:rFonts w:ascii="Arial" w:eastAsia="Times New Roman" w:hAnsi="Arial" w:cs="Arial"/>
          <w:color w:val="006699"/>
          <w:sz w:val="18"/>
          <w:szCs w:val="18"/>
          <w:lang w:val="en-US" w:eastAsia="fr-FR"/>
        </w:rPr>
        <w:t>75</w:t>
      </w:r>
      <w:bookmarkEnd w:id="76"/>
      <w:r w:rsidRPr="00C9365D">
        <w:rPr>
          <w:rFonts w:ascii="Arial" w:eastAsia="Times New Roman" w:hAnsi="Arial" w:cs="Arial"/>
          <w:color w:val="000000"/>
          <w:sz w:val="18"/>
          <w:szCs w:val="18"/>
          <w:lang w:val="en-US" w:eastAsia="fr-FR"/>
        </w:rPr>
        <w:t>      The second subparagraph of Article 30(5) of Directive 2001/14 provides that decisions taken by the regulatory body are binding on all the parties covered by those decisions, but does not contain any rules as to whether those decisions may be binding on courts hearing a claim for reimbursement of an overpayment of infrastructure charges on the basis of Article 102 TFEU.</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7" w:name="point76"/>
      <w:proofErr w:type="gramStart"/>
      <w:r w:rsidRPr="00C9365D">
        <w:rPr>
          <w:rFonts w:ascii="Arial" w:eastAsia="Times New Roman" w:hAnsi="Arial" w:cs="Arial"/>
          <w:color w:val="006699"/>
          <w:sz w:val="18"/>
          <w:szCs w:val="18"/>
          <w:lang w:val="en-US" w:eastAsia="fr-FR"/>
        </w:rPr>
        <w:t>76</w:t>
      </w:r>
      <w:bookmarkEnd w:id="77"/>
      <w:r w:rsidRPr="00C9365D">
        <w:rPr>
          <w:rFonts w:ascii="Arial" w:eastAsia="Times New Roman" w:hAnsi="Arial" w:cs="Arial"/>
          <w:color w:val="000000"/>
          <w:sz w:val="18"/>
          <w:szCs w:val="18"/>
          <w:lang w:val="en-US" w:eastAsia="fr-FR"/>
        </w:rPr>
        <w:t>      Admittedly, in paragraph 97 of the judgment of 9 November 2017, </w:t>
      </w:r>
      <w:r w:rsidRPr="00C9365D">
        <w:rPr>
          <w:rFonts w:ascii="Arial" w:eastAsia="Times New Roman" w:hAnsi="Arial" w:cs="Arial"/>
          <w:i/>
          <w:iCs/>
          <w:color w:val="000000"/>
          <w:sz w:val="18"/>
          <w:szCs w:val="18"/>
          <w:lang w:val="en-US" w:eastAsia="fr-FR"/>
        </w:rPr>
        <w:t>CTL Logistics</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489/15, EU:C:2017:834), the Court held that the jurisdiction of civil courts to rule, pursuant to provisions of national civil law, on the reimbursement of infrastructure charges is limited to cases in which, in accordance also with provisions of national law, the illegality of the charge in the light of the legislation concerning access to railway infrastructure has first been found by the regulatory body or by a court which has reviewed that body’s decision.</w:t>
      </w:r>
      <w:proofErr w:type="gramEnd"/>
      <w:r w:rsidRPr="00C9365D">
        <w:rPr>
          <w:rFonts w:ascii="Arial" w:eastAsia="Times New Roman" w:hAnsi="Arial" w:cs="Arial"/>
          <w:color w:val="000000"/>
          <w:sz w:val="18"/>
          <w:szCs w:val="18"/>
          <w:lang w:val="en-US" w:eastAsia="fr-FR"/>
        </w:rPr>
        <w:t xml:space="preserve"> Furthermore, it is apparent from paragraphs 84 and 86 of that judgment that entrusting any national civil court with the task of directly applying the railway legislation arising from Directive 2001/14 would disregard the exclusive competence conferred on the regulatory body by Article 30 of that directive.</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8" w:name="point77"/>
      <w:proofErr w:type="gramStart"/>
      <w:r w:rsidRPr="00C9365D">
        <w:rPr>
          <w:rFonts w:ascii="Arial" w:eastAsia="Times New Roman" w:hAnsi="Arial" w:cs="Arial"/>
          <w:color w:val="006699"/>
          <w:sz w:val="18"/>
          <w:szCs w:val="18"/>
          <w:lang w:val="en-US" w:eastAsia="fr-FR"/>
        </w:rPr>
        <w:t>77</w:t>
      </w:r>
      <w:bookmarkEnd w:id="78"/>
      <w:r w:rsidRPr="00C9365D">
        <w:rPr>
          <w:rFonts w:ascii="Arial" w:eastAsia="Times New Roman" w:hAnsi="Arial" w:cs="Arial"/>
          <w:color w:val="000000"/>
          <w:sz w:val="18"/>
          <w:szCs w:val="18"/>
          <w:lang w:val="en-US" w:eastAsia="fr-FR"/>
        </w:rPr>
        <w:t>      However, the case which gave rise to that judgment and, therefore, the request for a preliminary ruling made to the Court concerned a dispute between a railway undertaking and an infrastructure manager concerning a request for reimbursement of railway charges based on provisions of German civil law which allowed, in essence, the civil court to carry out an </w:t>
      </w:r>
      <w:r w:rsidRPr="00C9365D">
        <w:rPr>
          <w:rFonts w:ascii="Arial" w:eastAsia="Times New Roman" w:hAnsi="Arial" w:cs="Arial"/>
          <w:i/>
          <w:iCs/>
          <w:color w:val="000000"/>
          <w:sz w:val="18"/>
          <w:szCs w:val="18"/>
          <w:lang w:val="en-US" w:eastAsia="fr-FR"/>
        </w:rPr>
        <w:t xml:space="preserve">ex </w:t>
      </w:r>
      <w:proofErr w:type="spellStart"/>
      <w:r w:rsidRPr="00C9365D">
        <w:rPr>
          <w:rFonts w:ascii="Arial" w:eastAsia="Times New Roman" w:hAnsi="Arial" w:cs="Arial"/>
          <w:i/>
          <w:iCs/>
          <w:color w:val="000000"/>
          <w:sz w:val="18"/>
          <w:szCs w:val="18"/>
          <w:lang w:val="en-US" w:eastAsia="fr-FR"/>
        </w:rPr>
        <w:t>aequo</w:t>
      </w:r>
      <w:proofErr w:type="spellEnd"/>
      <w:r w:rsidRPr="00C9365D">
        <w:rPr>
          <w:rFonts w:ascii="Arial" w:eastAsia="Times New Roman" w:hAnsi="Arial" w:cs="Arial"/>
          <w:i/>
          <w:iCs/>
          <w:color w:val="000000"/>
          <w:sz w:val="18"/>
          <w:szCs w:val="18"/>
          <w:lang w:val="en-US" w:eastAsia="fr-FR"/>
        </w:rPr>
        <w:t xml:space="preserve"> et bono</w:t>
      </w:r>
      <w:r w:rsidRPr="00C9365D">
        <w:rPr>
          <w:rFonts w:ascii="Arial" w:eastAsia="Times New Roman" w:hAnsi="Arial" w:cs="Arial"/>
          <w:color w:val="000000"/>
          <w:sz w:val="18"/>
          <w:szCs w:val="18"/>
          <w:lang w:val="en-US" w:eastAsia="fr-FR"/>
        </w:rPr>
        <w:t> assessment of the amount of those charges.</w:t>
      </w:r>
      <w:proofErr w:type="gramEnd"/>
      <w:r w:rsidRPr="00C9365D">
        <w:rPr>
          <w:rFonts w:ascii="Arial" w:eastAsia="Times New Roman" w:hAnsi="Arial" w:cs="Arial"/>
          <w:color w:val="000000"/>
          <w:sz w:val="18"/>
          <w:szCs w:val="18"/>
          <w:lang w:val="en-US" w:eastAsia="fr-FR"/>
        </w:rPr>
        <w:t xml:space="preserve"> By contrast, in the present case, in order to rule on ODEG’s claim for reimbursement of infrastructure charges, the referring court is required to apply not German civil law but a provision of primary EU law, namely Article 102 TFEU and, concurrently, the corresponding provisions of national competition law.</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9" w:name="point78"/>
      <w:proofErr w:type="gramStart"/>
      <w:r w:rsidRPr="00C9365D">
        <w:rPr>
          <w:rFonts w:ascii="Arial" w:eastAsia="Times New Roman" w:hAnsi="Arial" w:cs="Arial"/>
          <w:color w:val="006699"/>
          <w:sz w:val="18"/>
          <w:szCs w:val="18"/>
          <w:lang w:val="en-US" w:eastAsia="fr-FR"/>
        </w:rPr>
        <w:t>78</w:t>
      </w:r>
      <w:bookmarkEnd w:id="79"/>
      <w:r w:rsidRPr="00C9365D">
        <w:rPr>
          <w:rFonts w:ascii="Arial" w:eastAsia="Times New Roman" w:hAnsi="Arial" w:cs="Arial"/>
          <w:color w:val="000000"/>
          <w:sz w:val="18"/>
          <w:szCs w:val="18"/>
          <w:lang w:val="en-US" w:eastAsia="fr-FR"/>
        </w:rPr>
        <w:t>      Furthermore, although the review of infrastructure charges in the light of the provisions of civil law of a Member State which are unrelated to the rules laid down by Directive 2001/14 is, by its very nature, incompatible with the technical requirements of the rail transport sector, with the objectives of that directive and with the tasks of the regulatory body, referred to in paragraphs 58 to 60 above, that cannot be the case where their amount is disputed on the basis of Article 102 TFEU, as follows, inter alia, from paragraphs 71 to 73 above.</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0" w:name="point79"/>
      <w:proofErr w:type="gramStart"/>
      <w:r w:rsidRPr="00C9365D">
        <w:rPr>
          <w:rFonts w:ascii="Arial" w:eastAsia="Times New Roman" w:hAnsi="Arial" w:cs="Arial"/>
          <w:color w:val="006699"/>
          <w:sz w:val="18"/>
          <w:szCs w:val="18"/>
          <w:lang w:val="en-US" w:eastAsia="fr-FR"/>
        </w:rPr>
        <w:t>79</w:t>
      </w:r>
      <w:bookmarkEnd w:id="80"/>
      <w:r w:rsidRPr="00C9365D">
        <w:rPr>
          <w:rFonts w:ascii="Arial" w:eastAsia="Times New Roman" w:hAnsi="Arial" w:cs="Arial"/>
          <w:color w:val="000000"/>
          <w:sz w:val="18"/>
          <w:szCs w:val="18"/>
          <w:lang w:val="en-US" w:eastAsia="fr-FR"/>
        </w:rPr>
        <w:t>      Therefore, in order to preserve the full effectiveness of Article 102 TFEU and, in particular, in order to guarantee applicants effective protection against the adverse consequences of an infringement of competition law, the exclusive competence conferred on the regulatory body by Article 30 of Directive 2001/14 cannot prevent the national courts having jurisdiction from hearing claims for reimbursement of an alleged overpayment of infrastructure charges based on Article 102 TFEU.</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1" w:name="point80"/>
      <w:proofErr w:type="gramStart"/>
      <w:r w:rsidRPr="00C9365D">
        <w:rPr>
          <w:rFonts w:ascii="Arial" w:eastAsia="Times New Roman" w:hAnsi="Arial" w:cs="Arial"/>
          <w:color w:val="006699"/>
          <w:sz w:val="18"/>
          <w:szCs w:val="18"/>
          <w:lang w:val="en-US" w:eastAsia="fr-FR"/>
        </w:rPr>
        <w:t>80</w:t>
      </w:r>
      <w:bookmarkEnd w:id="81"/>
      <w:r w:rsidRPr="00C9365D">
        <w:rPr>
          <w:rFonts w:ascii="Arial" w:eastAsia="Times New Roman" w:hAnsi="Arial" w:cs="Arial"/>
          <w:color w:val="000000"/>
          <w:sz w:val="18"/>
          <w:szCs w:val="18"/>
          <w:lang w:val="en-US" w:eastAsia="fr-FR"/>
        </w:rPr>
        <w:t>      However, that provision in no way precludes, in view of the need for consistent management of the rail network referred to in particular in paragraphs 57 to 66 above, the retention, subject to the following considerations, of the exclusive competence of the regulatory body to hear all aspects of the disputes brought before it pursuant to Article 30(2) of Directive 2001/14.</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2" w:name="point81"/>
      <w:r w:rsidRPr="00C9365D">
        <w:rPr>
          <w:rFonts w:ascii="Arial" w:eastAsia="Times New Roman" w:hAnsi="Arial" w:cs="Arial"/>
          <w:color w:val="006699"/>
          <w:sz w:val="18"/>
          <w:szCs w:val="18"/>
          <w:lang w:val="en-US" w:eastAsia="fr-FR"/>
        </w:rPr>
        <w:t>81</w:t>
      </w:r>
      <w:bookmarkEnd w:id="82"/>
      <w:r w:rsidRPr="00C9365D">
        <w:rPr>
          <w:rFonts w:ascii="Arial" w:eastAsia="Times New Roman" w:hAnsi="Arial" w:cs="Arial"/>
          <w:color w:val="000000"/>
          <w:sz w:val="18"/>
          <w:szCs w:val="18"/>
          <w:lang w:val="en-US" w:eastAsia="fr-FR"/>
        </w:rPr>
        <w:t xml:space="preserve">      Thus, where a railway undertaking intends, </w:t>
      </w:r>
      <w:proofErr w:type="gramStart"/>
      <w:r w:rsidRPr="00C9365D">
        <w:rPr>
          <w:rFonts w:ascii="Arial" w:eastAsia="Times New Roman" w:hAnsi="Arial" w:cs="Arial"/>
          <w:color w:val="000000"/>
          <w:sz w:val="18"/>
          <w:szCs w:val="18"/>
          <w:lang w:val="en-US" w:eastAsia="fr-FR"/>
        </w:rPr>
        <w:t>on the basis of</w:t>
      </w:r>
      <w:proofErr w:type="gramEnd"/>
      <w:r w:rsidRPr="00C9365D">
        <w:rPr>
          <w:rFonts w:ascii="Arial" w:eastAsia="Times New Roman" w:hAnsi="Arial" w:cs="Arial"/>
          <w:color w:val="000000"/>
          <w:sz w:val="18"/>
          <w:szCs w:val="18"/>
          <w:lang w:val="en-US" w:eastAsia="fr-FR"/>
        </w:rPr>
        <w:t xml:space="preserve"> Article 102 TFEU, to obtain reimbursement of an alleged overpayment of infrastructure charges, it must, prior to any action being brought before the national courts having jurisdiction, refer the question of their lawfulness to the national regulatory body.</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3" w:name="point82"/>
      <w:proofErr w:type="gramStart"/>
      <w:r w:rsidRPr="00C9365D">
        <w:rPr>
          <w:rFonts w:ascii="Arial" w:eastAsia="Times New Roman" w:hAnsi="Arial" w:cs="Arial"/>
          <w:color w:val="006699"/>
          <w:sz w:val="18"/>
          <w:szCs w:val="18"/>
          <w:lang w:val="en-US" w:eastAsia="fr-FR"/>
        </w:rPr>
        <w:t>82</w:t>
      </w:r>
      <w:bookmarkEnd w:id="83"/>
      <w:r w:rsidRPr="00C9365D">
        <w:rPr>
          <w:rFonts w:ascii="Arial" w:eastAsia="Times New Roman" w:hAnsi="Arial" w:cs="Arial"/>
          <w:color w:val="000000"/>
          <w:sz w:val="18"/>
          <w:szCs w:val="18"/>
          <w:lang w:val="en-US" w:eastAsia="fr-FR"/>
        </w:rPr>
        <w:t>      Furthermore, the Court has already held that a regulatory obligation may be relevant for the purposes of assessing abusive conduct, within the meaning of Article 102 TFEU, on the part of a dominant undertaking subject to sectoral rules (see, to that effect, judgments of 14 October 2010, </w:t>
      </w:r>
      <w:r w:rsidRPr="00C9365D">
        <w:rPr>
          <w:rFonts w:ascii="Arial" w:eastAsia="Times New Roman" w:hAnsi="Arial" w:cs="Arial"/>
          <w:i/>
          <w:iCs/>
          <w:color w:val="000000"/>
          <w:sz w:val="18"/>
          <w:szCs w:val="18"/>
          <w:lang w:val="en-US" w:eastAsia="fr-FR"/>
        </w:rPr>
        <w:t>Deutsche Telekom </w:t>
      </w:r>
      <w:r w:rsidRPr="00C9365D">
        <w:rPr>
          <w:rFonts w:ascii="Arial" w:eastAsia="Times New Roman" w:hAnsi="Arial" w:cs="Arial"/>
          <w:color w:val="000000"/>
          <w:sz w:val="18"/>
          <w:szCs w:val="18"/>
          <w:lang w:val="en-US" w:eastAsia="fr-FR"/>
        </w:rPr>
        <w:t>v</w:t>
      </w:r>
      <w:r w:rsidRPr="00C9365D">
        <w:rPr>
          <w:rFonts w:ascii="Arial" w:eastAsia="Times New Roman" w:hAnsi="Arial" w:cs="Arial"/>
          <w:i/>
          <w:iCs/>
          <w:color w:val="000000"/>
          <w:sz w:val="18"/>
          <w:szCs w:val="18"/>
          <w:lang w:val="en-US" w:eastAsia="fr-FR"/>
        </w:rPr>
        <w:t> Commission</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280/08 P, EU:C:2010:603, paragraph 224, and of 25 March 2021, </w:t>
      </w:r>
      <w:r w:rsidRPr="00C9365D">
        <w:rPr>
          <w:rFonts w:ascii="Arial" w:eastAsia="Times New Roman" w:hAnsi="Arial" w:cs="Arial"/>
          <w:i/>
          <w:iCs/>
          <w:color w:val="000000"/>
          <w:sz w:val="18"/>
          <w:szCs w:val="18"/>
          <w:lang w:val="en-US" w:eastAsia="fr-FR"/>
        </w:rPr>
        <w:t>Deutsche Telekom </w:t>
      </w:r>
      <w:r w:rsidRPr="00C9365D">
        <w:rPr>
          <w:rFonts w:ascii="Arial" w:eastAsia="Times New Roman" w:hAnsi="Arial" w:cs="Arial"/>
          <w:color w:val="000000"/>
          <w:sz w:val="18"/>
          <w:szCs w:val="18"/>
          <w:lang w:val="en-US" w:eastAsia="fr-FR"/>
        </w:rPr>
        <w:t>v</w:t>
      </w:r>
      <w:r w:rsidRPr="00C9365D">
        <w:rPr>
          <w:rFonts w:ascii="Arial" w:eastAsia="Times New Roman" w:hAnsi="Arial" w:cs="Arial"/>
          <w:i/>
          <w:iCs/>
          <w:color w:val="000000"/>
          <w:sz w:val="18"/>
          <w:szCs w:val="18"/>
          <w:lang w:val="en-US" w:eastAsia="fr-FR"/>
        </w:rPr>
        <w:t> Commission</w:t>
      </w:r>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152/19 P, EU:C:2021:238, paragraph 57).</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4" w:name="point83"/>
      <w:proofErr w:type="gramStart"/>
      <w:r w:rsidRPr="00C9365D">
        <w:rPr>
          <w:rFonts w:ascii="Arial" w:eastAsia="Times New Roman" w:hAnsi="Arial" w:cs="Arial"/>
          <w:color w:val="006699"/>
          <w:sz w:val="18"/>
          <w:szCs w:val="18"/>
          <w:lang w:val="en-US" w:eastAsia="fr-FR"/>
        </w:rPr>
        <w:t>83</w:t>
      </w:r>
      <w:bookmarkEnd w:id="84"/>
      <w:r w:rsidRPr="00C9365D">
        <w:rPr>
          <w:rFonts w:ascii="Arial" w:eastAsia="Times New Roman" w:hAnsi="Arial" w:cs="Arial"/>
          <w:color w:val="000000"/>
          <w:sz w:val="18"/>
          <w:szCs w:val="18"/>
          <w:lang w:val="en-US" w:eastAsia="fr-FR"/>
        </w:rPr>
        <w:t>      Thus, in order to meet the technical requirements relating to the operation of the railway sector and to preserve the effectiveness of the rules on access to infrastructure, while ensuring compliance with Article 102 TFEU and its full effectiveness, national courts hearing a claim for reimbursement of an overpayment of infrastructure charges are under an obligation to cooperate in good faith with the national regulatory bodies.</w:t>
      </w:r>
      <w:proofErr w:type="gramEnd"/>
      <w:r w:rsidRPr="00C9365D">
        <w:rPr>
          <w:rFonts w:ascii="Arial" w:eastAsia="Times New Roman" w:hAnsi="Arial" w:cs="Arial"/>
          <w:color w:val="000000"/>
          <w:sz w:val="18"/>
          <w:szCs w:val="18"/>
          <w:lang w:val="en-US" w:eastAsia="fr-FR"/>
        </w:rPr>
        <w:t xml:space="preserve"> </w:t>
      </w:r>
      <w:proofErr w:type="gramStart"/>
      <w:r w:rsidRPr="00C9365D">
        <w:rPr>
          <w:rFonts w:ascii="Arial" w:eastAsia="Times New Roman" w:hAnsi="Arial" w:cs="Arial"/>
          <w:color w:val="000000"/>
          <w:sz w:val="18"/>
          <w:szCs w:val="18"/>
          <w:lang w:val="en-US" w:eastAsia="fr-FR"/>
        </w:rPr>
        <w:t>It follows that, even if those courts are not bound by the decisions of those bodies, they are required to take them into consideration and to give reasons for their own decisions in the light of the assessments of fact and law made by the same bodies in the dispute before them and, in particular, concerning the application to case at issue of the relevant sectoral rules.</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5" w:name="point84"/>
      <w:proofErr w:type="gramStart"/>
      <w:r w:rsidRPr="00C9365D">
        <w:rPr>
          <w:rFonts w:ascii="Arial" w:eastAsia="Times New Roman" w:hAnsi="Arial" w:cs="Arial"/>
          <w:color w:val="006699"/>
          <w:sz w:val="18"/>
          <w:szCs w:val="18"/>
          <w:lang w:val="en-US" w:eastAsia="fr-FR"/>
        </w:rPr>
        <w:t>84</w:t>
      </w:r>
      <w:bookmarkEnd w:id="85"/>
      <w:r w:rsidRPr="00C9365D">
        <w:rPr>
          <w:rFonts w:ascii="Arial" w:eastAsia="Times New Roman" w:hAnsi="Arial" w:cs="Arial"/>
          <w:color w:val="000000"/>
          <w:sz w:val="18"/>
          <w:szCs w:val="18"/>
          <w:lang w:val="en-US" w:eastAsia="fr-FR"/>
        </w:rPr>
        <w:t xml:space="preserve">      It should be noted, in that regard, that the requirements relating to the prior referral to the national regulatory body and to the cooperation in good faith between it and the national courts, referred to in paragraphs 81 and 83 above, make it possible to avoid – by contrast with the situation at issue in the case giving rise to the </w:t>
      </w:r>
      <w:r w:rsidRPr="00C9365D">
        <w:rPr>
          <w:rFonts w:ascii="Arial" w:eastAsia="Times New Roman" w:hAnsi="Arial" w:cs="Arial"/>
          <w:color w:val="000000"/>
          <w:sz w:val="18"/>
          <w:szCs w:val="18"/>
          <w:lang w:val="en-US" w:eastAsia="fr-FR"/>
        </w:rPr>
        <w:lastRenderedPageBreak/>
        <w:t>judgment of 8 July 2021, </w:t>
      </w:r>
      <w:proofErr w:type="spellStart"/>
      <w:r w:rsidRPr="00C9365D">
        <w:rPr>
          <w:rFonts w:ascii="Arial" w:eastAsia="Times New Roman" w:hAnsi="Arial" w:cs="Arial"/>
          <w:i/>
          <w:iCs/>
          <w:color w:val="000000"/>
          <w:sz w:val="18"/>
          <w:szCs w:val="18"/>
          <w:lang w:val="en-US" w:eastAsia="fr-FR"/>
        </w:rPr>
        <w:t>Koleje</w:t>
      </w:r>
      <w:proofErr w:type="spellEnd"/>
      <w:r w:rsidRPr="00C9365D">
        <w:rPr>
          <w:rFonts w:ascii="Arial" w:eastAsia="Times New Roman" w:hAnsi="Arial" w:cs="Arial"/>
          <w:i/>
          <w:iCs/>
          <w:color w:val="000000"/>
          <w:sz w:val="18"/>
          <w:szCs w:val="18"/>
          <w:lang w:val="en-US" w:eastAsia="fr-FR"/>
        </w:rPr>
        <w:t xml:space="preserve"> </w:t>
      </w:r>
      <w:proofErr w:type="spellStart"/>
      <w:r w:rsidRPr="00C9365D">
        <w:rPr>
          <w:rFonts w:ascii="Arial" w:eastAsia="Times New Roman" w:hAnsi="Arial" w:cs="Arial"/>
          <w:i/>
          <w:iCs/>
          <w:color w:val="000000"/>
          <w:sz w:val="18"/>
          <w:szCs w:val="18"/>
          <w:lang w:val="en-US" w:eastAsia="fr-FR"/>
        </w:rPr>
        <w:t>Mazowieckie</w:t>
      </w:r>
      <w:proofErr w:type="spellEnd"/>
      <w:r w:rsidRPr="00C9365D">
        <w:rPr>
          <w:rFonts w:ascii="Arial" w:eastAsia="Times New Roman" w:hAnsi="Arial" w:cs="Arial"/>
          <w:color w:val="000000"/>
          <w:sz w:val="18"/>
          <w:szCs w:val="18"/>
          <w:lang w:val="en-US" w:eastAsia="fr-FR"/>
        </w:rPr>
        <w:t> (C</w:t>
      </w:r>
      <w:r w:rsidRPr="00C9365D">
        <w:rPr>
          <w:rFonts w:ascii="Arial" w:eastAsia="Times New Roman" w:hAnsi="Arial" w:cs="Arial"/>
          <w:color w:val="000000"/>
          <w:sz w:val="18"/>
          <w:szCs w:val="18"/>
          <w:lang w:val="en-US" w:eastAsia="fr-FR"/>
        </w:rPr>
        <w:noBreakHyphen/>
        <w:t>120/20, EU:C:2021:553), and which the Court has pointed out in paragraph 54 of that judgment – calling into question the task of the regulatory body and, hence, the practical effect of Article 30 of Directive 2001/14, when a claim based on Article 102 TFEU is brought before the national courts.</w:t>
      </w:r>
      <w:proofErr w:type="gramEnd"/>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6" w:name="point85"/>
      <w:r w:rsidRPr="00C9365D">
        <w:rPr>
          <w:rFonts w:ascii="Arial" w:eastAsia="Times New Roman" w:hAnsi="Arial" w:cs="Arial"/>
          <w:color w:val="006699"/>
          <w:sz w:val="18"/>
          <w:szCs w:val="18"/>
          <w:lang w:val="en-US" w:eastAsia="fr-FR"/>
        </w:rPr>
        <w:t>85</w:t>
      </w:r>
      <w:bookmarkEnd w:id="86"/>
      <w:r w:rsidRPr="00C9365D">
        <w:rPr>
          <w:rFonts w:ascii="Arial" w:eastAsia="Times New Roman" w:hAnsi="Arial" w:cs="Arial"/>
          <w:color w:val="000000"/>
          <w:sz w:val="18"/>
          <w:szCs w:val="18"/>
          <w:lang w:val="en-US" w:eastAsia="fr-FR"/>
        </w:rPr>
        <w:t>      In order to ensure the full effectiveness of the latter provision, national courts hearing a claim on that basis for reimbursement of an alleged overpayment of infrastructure charges are not required to await the outcome of judicial proceedings brought against decisions of the competent regulatory body.</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7" w:name="point86"/>
      <w:r w:rsidRPr="00C9365D">
        <w:rPr>
          <w:rFonts w:ascii="Arial" w:eastAsia="Times New Roman" w:hAnsi="Arial" w:cs="Arial"/>
          <w:color w:val="006699"/>
          <w:sz w:val="18"/>
          <w:szCs w:val="18"/>
          <w:lang w:val="en-US" w:eastAsia="fr-FR"/>
        </w:rPr>
        <w:t>86</w:t>
      </w:r>
      <w:bookmarkEnd w:id="87"/>
      <w:r w:rsidRPr="00C9365D">
        <w:rPr>
          <w:rFonts w:ascii="Arial" w:eastAsia="Times New Roman" w:hAnsi="Arial" w:cs="Arial"/>
          <w:color w:val="000000"/>
          <w:sz w:val="18"/>
          <w:szCs w:val="18"/>
          <w:lang w:val="en-US" w:eastAsia="fr-FR"/>
        </w:rPr>
        <w:t>      The same considerations apply where a national court is called upon, in accordance with Article 3(1) of Regulation No 1/2003, to apply, concurrently, Article 102 TFEU and the corresponding provisions of national competition law.</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8" w:name="point87"/>
      <w:r w:rsidRPr="00C9365D">
        <w:rPr>
          <w:rFonts w:ascii="Arial" w:eastAsia="Times New Roman" w:hAnsi="Arial" w:cs="Arial"/>
          <w:color w:val="006699"/>
          <w:sz w:val="18"/>
          <w:szCs w:val="18"/>
          <w:lang w:val="en-US" w:eastAsia="fr-FR"/>
        </w:rPr>
        <w:t>87</w:t>
      </w:r>
      <w:bookmarkEnd w:id="88"/>
      <w:r w:rsidRPr="00C9365D">
        <w:rPr>
          <w:rFonts w:ascii="Arial" w:eastAsia="Times New Roman" w:hAnsi="Arial" w:cs="Arial"/>
          <w:color w:val="000000"/>
          <w:sz w:val="18"/>
          <w:szCs w:val="18"/>
          <w:lang w:val="en-US" w:eastAsia="fr-FR"/>
        </w:rPr>
        <w:t xml:space="preserve">      Furthermore, as regards the case in the main proceedings, it must be borne in mind that, by its decisions mentioned in paragraphs 24 and 26 of the present judgment, the </w:t>
      </w:r>
      <w:proofErr w:type="spellStart"/>
      <w:r w:rsidRPr="00C9365D">
        <w:rPr>
          <w:rFonts w:ascii="Arial" w:eastAsia="Times New Roman" w:hAnsi="Arial" w:cs="Arial"/>
          <w:color w:val="000000"/>
          <w:sz w:val="18"/>
          <w:szCs w:val="18"/>
          <w:lang w:val="en-US" w:eastAsia="fr-FR"/>
        </w:rPr>
        <w:t>Bundesnetzagentur</w:t>
      </w:r>
      <w:proofErr w:type="spellEnd"/>
      <w:r w:rsidRPr="00C9365D">
        <w:rPr>
          <w:rFonts w:ascii="Arial" w:eastAsia="Times New Roman" w:hAnsi="Arial" w:cs="Arial"/>
          <w:color w:val="000000"/>
          <w:sz w:val="18"/>
          <w:szCs w:val="18"/>
          <w:lang w:val="en-US" w:eastAsia="fr-FR"/>
        </w:rPr>
        <w:t xml:space="preserve"> merely found that the charge </w:t>
      </w:r>
      <w:proofErr w:type="gramStart"/>
      <w:r w:rsidRPr="00C9365D">
        <w:rPr>
          <w:rFonts w:ascii="Arial" w:eastAsia="Times New Roman" w:hAnsi="Arial" w:cs="Arial"/>
          <w:color w:val="000000"/>
          <w:sz w:val="18"/>
          <w:szCs w:val="18"/>
          <w:lang w:val="en-US" w:eastAsia="fr-FR"/>
        </w:rPr>
        <w:t>for access to the infrastructure at issue in the main proceedings</w:t>
      </w:r>
      <w:proofErr w:type="gramEnd"/>
      <w:r w:rsidRPr="00C9365D">
        <w:rPr>
          <w:rFonts w:ascii="Arial" w:eastAsia="Times New Roman" w:hAnsi="Arial" w:cs="Arial"/>
          <w:color w:val="000000"/>
          <w:sz w:val="18"/>
          <w:szCs w:val="18"/>
          <w:lang w:val="en-US" w:eastAsia="fr-FR"/>
        </w:rPr>
        <w:t xml:space="preserve"> was unlawful with prospective effect only. However, as follows from paragraph 74 above, when an appeal has been brought before it </w:t>
      </w:r>
      <w:proofErr w:type="gramStart"/>
      <w:r w:rsidRPr="00C9365D">
        <w:rPr>
          <w:rFonts w:ascii="Arial" w:eastAsia="Times New Roman" w:hAnsi="Arial" w:cs="Arial"/>
          <w:color w:val="000000"/>
          <w:sz w:val="18"/>
          <w:szCs w:val="18"/>
          <w:lang w:val="en-US" w:eastAsia="fr-FR"/>
        </w:rPr>
        <w:t>on the basis of</w:t>
      </w:r>
      <w:proofErr w:type="gramEnd"/>
      <w:r w:rsidRPr="00C9365D">
        <w:rPr>
          <w:rFonts w:ascii="Arial" w:eastAsia="Times New Roman" w:hAnsi="Arial" w:cs="Arial"/>
          <w:color w:val="000000"/>
          <w:sz w:val="18"/>
          <w:szCs w:val="18"/>
          <w:lang w:val="en-US" w:eastAsia="fr-FR"/>
        </w:rPr>
        <w:t xml:space="preserve"> Article 30(2) of Directive 2001/14, that body cannot properly decline its competence to rule on the lawfulness of infrastructure charges levied in the past.</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9" w:name="point88"/>
      <w:proofErr w:type="gramStart"/>
      <w:r w:rsidRPr="00C9365D">
        <w:rPr>
          <w:rFonts w:ascii="Arial" w:eastAsia="Times New Roman" w:hAnsi="Arial" w:cs="Arial"/>
          <w:color w:val="006699"/>
          <w:sz w:val="18"/>
          <w:szCs w:val="18"/>
          <w:lang w:val="en-US" w:eastAsia="fr-FR"/>
        </w:rPr>
        <w:t>88</w:t>
      </w:r>
      <w:bookmarkEnd w:id="89"/>
      <w:r w:rsidRPr="00C9365D">
        <w:rPr>
          <w:rFonts w:ascii="Arial" w:eastAsia="Times New Roman" w:hAnsi="Arial" w:cs="Arial"/>
          <w:color w:val="000000"/>
          <w:sz w:val="18"/>
          <w:szCs w:val="18"/>
          <w:lang w:val="en-US" w:eastAsia="fr-FR"/>
        </w:rPr>
        <w:t>      In the light of all the foregoing considerations, the answer to the first question is that Article 30 of Directive 2001/14 must be interpreted as not precluding national courts from applying Article 102 TFEU and national competition law concurrently, in order to hear and determine a claim for reimbursement of infrastructure charges, provided, however, that the competent regulatory body has previously ruled on the lawfulness of the charges in question.</w:t>
      </w:r>
      <w:proofErr w:type="gramEnd"/>
      <w:r w:rsidRPr="00C9365D">
        <w:rPr>
          <w:rFonts w:ascii="Arial" w:eastAsia="Times New Roman" w:hAnsi="Arial" w:cs="Arial"/>
          <w:color w:val="000000"/>
          <w:sz w:val="18"/>
          <w:szCs w:val="18"/>
          <w:lang w:val="en-US" w:eastAsia="fr-FR"/>
        </w:rPr>
        <w:t xml:space="preserve"> In that context, a duty of sincere cooperation is incumbent upon those </w:t>
      </w:r>
      <w:proofErr w:type="gramStart"/>
      <w:r w:rsidRPr="00C9365D">
        <w:rPr>
          <w:rFonts w:ascii="Arial" w:eastAsia="Times New Roman" w:hAnsi="Arial" w:cs="Arial"/>
          <w:color w:val="000000"/>
          <w:sz w:val="18"/>
          <w:szCs w:val="18"/>
          <w:lang w:val="en-US" w:eastAsia="fr-FR"/>
        </w:rPr>
        <w:t>courts which</w:t>
      </w:r>
      <w:proofErr w:type="gramEnd"/>
      <w:r w:rsidRPr="00C9365D">
        <w:rPr>
          <w:rFonts w:ascii="Arial" w:eastAsia="Times New Roman" w:hAnsi="Arial" w:cs="Arial"/>
          <w:color w:val="000000"/>
          <w:sz w:val="18"/>
          <w:szCs w:val="18"/>
          <w:lang w:val="en-US" w:eastAsia="fr-FR"/>
        </w:rPr>
        <w:t xml:space="preserve"> are required to take account of decisions delivered by that body as a criterion of assessment and to give reasons for their own decisions in the light of all the documents in the files submitted to them.</w:t>
      </w:r>
    </w:p>
    <w:p w:rsidR="00C9365D" w:rsidRPr="00C9365D" w:rsidRDefault="00C9365D" w:rsidP="00C9365D">
      <w:pPr>
        <w:spacing w:after="240" w:line="240" w:lineRule="auto"/>
        <w:ind w:left="567"/>
        <w:jc w:val="both"/>
        <w:rPr>
          <w:rFonts w:ascii="Arial" w:eastAsia="Times New Roman" w:hAnsi="Arial" w:cs="Arial"/>
          <w:i/>
          <w:iCs/>
          <w:color w:val="000000"/>
          <w:sz w:val="18"/>
          <w:szCs w:val="18"/>
          <w:lang w:val="en-US" w:eastAsia="fr-FR"/>
        </w:rPr>
      </w:pPr>
      <w:r w:rsidRPr="00C9365D">
        <w:rPr>
          <w:rFonts w:ascii="Arial" w:eastAsia="Times New Roman" w:hAnsi="Arial" w:cs="Arial"/>
          <w:i/>
          <w:iCs/>
          <w:color w:val="000000"/>
          <w:sz w:val="18"/>
          <w:szCs w:val="18"/>
          <w:lang w:val="en-US" w:eastAsia="fr-FR"/>
        </w:rPr>
        <w:t> </w:t>
      </w:r>
      <w:r w:rsidRPr="00C9365D">
        <w:rPr>
          <w:rFonts w:ascii="Arial" w:eastAsia="Times New Roman" w:hAnsi="Arial" w:cs="Arial"/>
          <w:b/>
          <w:bCs/>
          <w:i/>
          <w:iCs/>
          <w:color w:val="000000"/>
          <w:sz w:val="18"/>
          <w:szCs w:val="18"/>
          <w:lang w:val="en-US" w:eastAsia="fr-FR"/>
        </w:rPr>
        <w:t>The second question</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90" w:name="point89"/>
      <w:r w:rsidRPr="00C9365D">
        <w:rPr>
          <w:rFonts w:ascii="Arial" w:eastAsia="Times New Roman" w:hAnsi="Arial" w:cs="Arial"/>
          <w:color w:val="006699"/>
          <w:sz w:val="18"/>
          <w:szCs w:val="18"/>
          <w:lang w:val="en-US" w:eastAsia="fr-FR"/>
        </w:rPr>
        <w:t>89</w:t>
      </w:r>
      <w:bookmarkEnd w:id="90"/>
      <w:r w:rsidRPr="00C9365D">
        <w:rPr>
          <w:rFonts w:ascii="Arial" w:eastAsia="Times New Roman" w:hAnsi="Arial" w:cs="Arial"/>
          <w:color w:val="000000"/>
          <w:sz w:val="18"/>
          <w:szCs w:val="18"/>
          <w:lang w:val="en-US" w:eastAsia="fr-FR"/>
        </w:rPr>
        <w:t>      In the light of the answer to the first question, there is no need to reply to the second question.</w:t>
      </w:r>
    </w:p>
    <w:p w:rsidR="00C9365D" w:rsidRPr="00C9365D" w:rsidRDefault="00C9365D" w:rsidP="00C9365D">
      <w:pPr>
        <w:spacing w:before="480" w:after="240" w:line="240" w:lineRule="auto"/>
        <w:ind w:left="567"/>
        <w:jc w:val="both"/>
        <w:rPr>
          <w:rFonts w:ascii="Arial" w:eastAsia="Times New Roman" w:hAnsi="Arial" w:cs="Arial"/>
          <w:b/>
          <w:bCs/>
          <w:color w:val="000000"/>
          <w:sz w:val="18"/>
          <w:szCs w:val="18"/>
          <w:lang w:val="en-US" w:eastAsia="fr-FR"/>
        </w:rPr>
      </w:pPr>
      <w:r w:rsidRPr="00C9365D">
        <w:rPr>
          <w:rFonts w:ascii="Arial" w:eastAsia="Times New Roman" w:hAnsi="Arial" w:cs="Arial"/>
          <w:b/>
          <w:bCs/>
          <w:color w:val="000000"/>
          <w:sz w:val="18"/>
          <w:szCs w:val="18"/>
          <w:lang w:val="en-US" w:eastAsia="fr-FR"/>
        </w:rPr>
        <w:t> Costs</w:t>
      </w:r>
    </w:p>
    <w:p w:rsidR="00C9365D" w:rsidRPr="00C9365D" w:rsidRDefault="00C9365D" w:rsidP="00C9365D">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91" w:name="point90"/>
      <w:r w:rsidRPr="00C9365D">
        <w:rPr>
          <w:rFonts w:ascii="Arial" w:eastAsia="Times New Roman" w:hAnsi="Arial" w:cs="Arial"/>
          <w:color w:val="006699"/>
          <w:sz w:val="18"/>
          <w:szCs w:val="18"/>
          <w:lang w:val="en-US" w:eastAsia="fr-FR"/>
        </w:rPr>
        <w:t>90</w:t>
      </w:r>
      <w:bookmarkEnd w:id="91"/>
      <w:r w:rsidRPr="00C9365D">
        <w:rPr>
          <w:rFonts w:ascii="Arial" w:eastAsia="Times New Roman" w:hAnsi="Arial" w:cs="Arial"/>
          <w:color w:val="000000"/>
          <w:sz w:val="18"/>
          <w:szCs w:val="18"/>
          <w:lang w:val="en-US" w:eastAsia="fr-FR"/>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C9365D" w:rsidRPr="00C9365D" w:rsidRDefault="00C9365D" w:rsidP="00C9365D">
      <w:pPr>
        <w:spacing w:before="480" w:after="240" w:line="240" w:lineRule="auto"/>
        <w:ind w:left="567"/>
        <w:jc w:val="both"/>
        <w:rPr>
          <w:rFonts w:ascii="Arial" w:eastAsia="Times New Roman" w:hAnsi="Arial" w:cs="Arial"/>
          <w:color w:val="000000"/>
          <w:sz w:val="18"/>
          <w:szCs w:val="18"/>
          <w:lang w:val="en-US" w:eastAsia="fr-FR"/>
        </w:rPr>
      </w:pPr>
      <w:r w:rsidRPr="00C9365D">
        <w:rPr>
          <w:rFonts w:ascii="Arial" w:eastAsia="Times New Roman" w:hAnsi="Arial" w:cs="Arial"/>
          <w:color w:val="000000"/>
          <w:sz w:val="18"/>
          <w:szCs w:val="18"/>
          <w:lang w:val="en-US" w:eastAsia="fr-FR"/>
        </w:rPr>
        <w:t>On those grounds, the Court (Fourth Chamber) hereby rules:</w:t>
      </w:r>
    </w:p>
    <w:p w:rsidR="00C9365D" w:rsidRPr="00C9365D" w:rsidRDefault="00C9365D" w:rsidP="00C9365D">
      <w:pPr>
        <w:spacing w:after="240" w:line="240" w:lineRule="auto"/>
        <w:ind w:left="567"/>
        <w:jc w:val="both"/>
        <w:rPr>
          <w:rFonts w:ascii="Arial" w:eastAsia="Times New Roman" w:hAnsi="Arial" w:cs="Arial"/>
          <w:b/>
          <w:bCs/>
          <w:color w:val="000000"/>
          <w:sz w:val="18"/>
          <w:szCs w:val="18"/>
          <w:lang w:val="en-US" w:eastAsia="fr-FR"/>
        </w:rPr>
      </w:pPr>
      <w:r w:rsidRPr="00C9365D">
        <w:rPr>
          <w:rFonts w:ascii="Arial" w:eastAsia="Times New Roman" w:hAnsi="Arial" w:cs="Arial"/>
          <w:b/>
          <w:bCs/>
          <w:color w:val="000000"/>
          <w:sz w:val="18"/>
          <w:szCs w:val="18"/>
          <w:lang w:val="en-US" w:eastAsia="fr-FR"/>
        </w:rPr>
        <w:t>Article 30 of Directive 2001/14/EC of the European Parliament and of the Council of 26 February 2001 on the allocation of railway infrastructure capacity and the levying of charges for the use of railway infrastructure, as amended by Directive 2007/58/EC of the European Parliament and of the Council of 23 October 2007,</w:t>
      </w:r>
    </w:p>
    <w:p w:rsidR="00C9365D" w:rsidRPr="00C9365D" w:rsidRDefault="00C9365D" w:rsidP="00C9365D">
      <w:pPr>
        <w:spacing w:after="240" w:line="240" w:lineRule="auto"/>
        <w:ind w:left="567"/>
        <w:jc w:val="both"/>
        <w:rPr>
          <w:rFonts w:ascii="Arial" w:eastAsia="Times New Roman" w:hAnsi="Arial" w:cs="Arial"/>
          <w:b/>
          <w:bCs/>
          <w:color w:val="000000"/>
          <w:sz w:val="18"/>
          <w:szCs w:val="18"/>
          <w:lang w:val="en-US" w:eastAsia="fr-FR"/>
        </w:rPr>
      </w:pPr>
      <w:proofErr w:type="gramStart"/>
      <w:r w:rsidRPr="00C9365D">
        <w:rPr>
          <w:rFonts w:ascii="Arial" w:eastAsia="Times New Roman" w:hAnsi="Arial" w:cs="Arial"/>
          <w:b/>
          <w:bCs/>
          <w:color w:val="000000"/>
          <w:sz w:val="18"/>
          <w:szCs w:val="18"/>
          <w:lang w:val="en-US" w:eastAsia="fr-FR"/>
        </w:rPr>
        <w:t>must</w:t>
      </w:r>
      <w:proofErr w:type="gramEnd"/>
      <w:r w:rsidRPr="00C9365D">
        <w:rPr>
          <w:rFonts w:ascii="Arial" w:eastAsia="Times New Roman" w:hAnsi="Arial" w:cs="Arial"/>
          <w:b/>
          <w:bCs/>
          <w:color w:val="000000"/>
          <w:sz w:val="18"/>
          <w:szCs w:val="18"/>
          <w:lang w:val="en-US" w:eastAsia="fr-FR"/>
        </w:rPr>
        <w:t xml:space="preserve"> be interpreted as not precluding national courts from applying Article 102 TFEU and national competition law concurrently, in order to hear and determine a claim for reimbursement of infrastructure charges, provided, however, that the competent regulatory body has previously ruled on the lawfulness of the charges in question. In that context, a duty of sincere cooperation is incumbent upon those courts, which are required to take account of decisions delivered by that body as a criterion of assessment and to give reasons for their own decisions in the light of all the documents in the files submitted to them.</w:t>
      </w:r>
    </w:p>
    <w:p w:rsidR="00C9365D" w:rsidRPr="00C9365D" w:rsidRDefault="00C9365D" w:rsidP="00C9365D">
      <w:pPr>
        <w:spacing w:after="1200" w:line="240" w:lineRule="auto"/>
        <w:ind w:left="567"/>
        <w:jc w:val="both"/>
        <w:rPr>
          <w:rFonts w:ascii="Arial" w:eastAsia="Times New Roman" w:hAnsi="Arial" w:cs="Arial"/>
          <w:color w:val="000000"/>
          <w:sz w:val="18"/>
          <w:szCs w:val="18"/>
          <w:lang w:eastAsia="fr-FR"/>
        </w:rPr>
      </w:pPr>
      <w:r w:rsidRPr="00C9365D">
        <w:rPr>
          <w:rFonts w:ascii="Arial" w:eastAsia="Times New Roman" w:hAnsi="Arial" w:cs="Arial"/>
          <w:color w:val="000000"/>
          <w:sz w:val="18"/>
          <w:szCs w:val="18"/>
          <w:lang w:eastAsia="fr-FR"/>
        </w:rPr>
        <w:t>[Signatures]</w:t>
      </w:r>
    </w:p>
    <w:p w:rsidR="00891EE8" w:rsidRDefault="00891EE8">
      <w:pPr>
        <w:rPr>
          <w:rFonts w:ascii="Times New Roman" w:eastAsia="Times New Roman" w:hAnsi="Times New Roman" w:cs="Times New Roman"/>
          <w:sz w:val="24"/>
          <w:szCs w:val="24"/>
          <w:lang w:val="en-US" w:eastAsia="fr-FR"/>
        </w:rPr>
      </w:pPr>
    </w:p>
    <w:p w:rsidR="00C9365D" w:rsidRDefault="00C9365D"/>
    <w:sectPr w:rsidR="00C9365D" w:rsidSect="002E2E65">
      <w:head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65" w:rsidRDefault="002E2E65">
      <w:pPr>
        <w:spacing w:after="0" w:line="240" w:lineRule="auto"/>
      </w:pPr>
      <w:r>
        <w:separator/>
      </w:r>
    </w:p>
  </w:endnote>
  <w:endnote w:type="continuationSeparator" w:id="0">
    <w:p w:rsidR="002E2E65" w:rsidRDefault="002E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65" w:rsidRDefault="002E2E65">
      <w:pPr>
        <w:spacing w:after="0" w:line="240" w:lineRule="auto"/>
      </w:pPr>
      <w:r>
        <w:separator/>
      </w:r>
    </w:p>
  </w:footnote>
  <w:footnote w:type="continuationSeparator" w:id="0">
    <w:p w:rsidR="002E2E65" w:rsidRDefault="002E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65" w:rsidRDefault="002E2E65">
    <w:pPr>
      <w:pStyle w:val="Corpsdetexte"/>
      <w:spacing w:line="14" w:lineRule="auto"/>
      <w:rPr>
        <w:sz w:val="20"/>
      </w:rPr>
    </w:pPr>
    <w:r>
      <w:rPr>
        <w:noProof/>
        <w:lang w:val="fr-FR" w:eastAsia="fr-FR"/>
      </w:rPr>
      <mc:AlternateContent>
        <mc:Choice Requires="wps">
          <w:drawing>
            <wp:anchor distT="0" distB="0" distL="114300" distR="114300" simplePos="0" relativeHeight="251659264" behindDoc="1" locked="0" layoutInCell="1" allowOverlap="1" wp14:anchorId="2AB83814" wp14:editId="784C2EDB">
              <wp:simplePos x="0" y="0"/>
              <wp:positionH relativeFrom="page">
                <wp:posOffset>3678555</wp:posOffset>
              </wp:positionH>
              <wp:positionV relativeFrom="page">
                <wp:posOffset>426085</wp:posOffset>
              </wp:positionV>
              <wp:extent cx="205740" cy="222885"/>
              <wp:effectExtent l="1905" t="0" r="190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E65" w:rsidRDefault="002E2E65">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83814" id="_x0000_t202" coordsize="21600,21600" o:spt="202" path="m,l,21600r21600,l21600,xe">
              <v:stroke joinstyle="miter"/>
              <v:path gradientshapeok="t" o:connecttype="rect"/>
            </v:shapetype>
            <v:shape id="Zone de texte 13" o:spid="_x0000_s1026" type="#_x0000_t202" style="position:absolute;margin-left:289.65pt;margin-top:33.55pt;width:16.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" filled="f" stroked="f">
              <v:textbox inset="0,0,0,0">
                <w:txbxContent>
                  <w:p w:rsidR="002E2E65" w:rsidRDefault="002E2E65">
                    <w:pPr>
                      <w:spacing w:before="9"/>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30D55"/>
    <w:multiLevelType w:val="hybridMultilevel"/>
    <w:tmpl w:val="6E1464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CA659A5"/>
    <w:multiLevelType w:val="hybridMultilevel"/>
    <w:tmpl w:val="ADD2ED12"/>
    <w:lvl w:ilvl="0" w:tplc="6194D61C">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8707AC"/>
    <w:multiLevelType w:val="hybridMultilevel"/>
    <w:tmpl w:val="E39C8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E54CFB"/>
    <w:multiLevelType w:val="hybridMultilevel"/>
    <w:tmpl w:val="0F72D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CC"/>
    <w:rsid w:val="002E2E65"/>
    <w:rsid w:val="00797B81"/>
    <w:rsid w:val="00891EE8"/>
    <w:rsid w:val="00AE47CC"/>
    <w:rsid w:val="00C9365D"/>
    <w:rsid w:val="00E2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84DD"/>
  <w15:chartTrackingRefBased/>
  <w15:docId w15:val="{5E27A569-E43F-4146-A332-B9A7F70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C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47CC"/>
    <w:rPr>
      <w:color w:val="0563C1" w:themeColor="hyperlink"/>
      <w:u w:val="single"/>
    </w:rPr>
  </w:style>
  <w:style w:type="paragraph" w:styleId="Corpsdetexte">
    <w:name w:val="Body Text"/>
    <w:basedOn w:val="Normal"/>
    <w:link w:val="CorpsdetexteCar"/>
    <w:uiPriority w:val="1"/>
    <w:qFormat/>
    <w:rsid w:val="00AE47CC"/>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sdetexteCar">
    <w:name w:val="Corps de texte Car"/>
    <w:basedOn w:val="Policepardfaut"/>
    <w:link w:val="Corpsdetexte"/>
    <w:uiPriority w:val="1"/>
    <w:rsid w:val="00AE47CC"/>
    <w:rPr>
      <w:rFonts w:ascii="Times New Roman" w:eastAsia="Times New Roman" w:hAnsi="Times New Roman" w:cs="Times New Roman"/>
      <w:sz w:val="28"/>
      <w:szCs w:val="28"/>
      <w:lang w:val="en-US"/>
    </w:rPr>
  </w:style>
  <w:style w:type="paragraph" w:styleId="Paragraphedeliste">
    <w:name w:val="List Paragraph"/>
    <w:basedOn w:val="Normal"/>
    <w:uiPriority w:val="1"/>
    <w:qFormat/>
    <w:rsid w:val="00AE47CC"/>
    <w:pPr>
      <w:widowControl w:val="0"/>
      <w:autoSpaceDE w:val="0"/>
      <w:autoSpaceDN w:val="0"/>
      <w:spacing w:before="81" w:after="0" w:line="240" w:lineRule="auto"/>
      <w:ind w:left="629" w:right="114" w:hanging="511"/>
      <w:jc w:val="both"/>
    </w:pPr>
    <w:rPr>
      <w:rFonts w:ascii="Times New Roman" w:eastAsia="Times New Roman" w:hAnsi="Times New Roman" w:cs="Times New Roman"/>
      <w:lang w:val="en-US"/>
    </w:rPr>
  </w:style>
  <w:style w:type="paragraph" w:styleId="NormalWeb">
    <w:name w:val="Normal (Web)"/>
    <w:basedOn w:val="Normal"/>
    <w:uiPriority w:val="99"/>
    <w:semiHidden/>
    <w:unhideWhenUsed/>
    <w:rsid w:val="002E2E6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8702">
      <w:bodyDiv w:val="1"/>
      <w:marLeft w:val="0"/>
      <w:marRight w:val="0"/>
      <w:marTop w:val="0"/>
      <w:marBottom w:val="0"/>
      <w:divBdr>
        <w:top w:val="none" w:sz="0" w:space="0" w:color="auto"/>
        <w:left w:val="none" w:sz="0" w:space="0" w:color="auto"/>
        <w:bottom w:val="none" w:sz="0" w:space="0" w:color="auto"/>
        <w:right w:val="none" w:sz="0" w:space="0" w:color="auto"/>
      </w:divBdr>
    </w:div>
    <w:div w:id="11266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62017TJ033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ria.europa.eu/juris/liste.jsf?td=ALL&amp;language=en&amp;jur=C,T,F&amp;num=41/90" TargetMode="External"/><Relationship Id="rId12" Type="http://schemas.openxmlformats.org/officeDocument/2006/relationships/hyperlink" Target="https://curia.europa.eu/juris/document/document.jsf?text=&amp;docid=267603&amp;pageIndex=0&amp;doclang=EN&amp;mode=lst&amp;dir=&amp;occ=first&amp;part=1&amp;cid=9176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uris/liste.jsf?language=en&amp;num=C-298/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ria.europa.eu/juris/liste.jsf?language=en&amp;num=C-324/98" TargetMode="External"/><Relationship Id="rId4" Type="http://schemas.openxmlformats.org/officeDocument/2006/relationships/webSettings" Target="webSettings.xml"/><Relationship Id="rId9" Type="http://schemas.openxmlformats.org/officeDocument/2006/relationships/hyperlink" Target="https://eur-lex.europa.eu/legal-content/EN/TXT/?uri=celex%3A52004XC0427%2806%29"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15971</Words>
  <Characters>85768</Characters>
  <Application>Microsoft Office Word</Application>
  <DocSecurity>0</DocSecurity>
  <Lines>1208</Lines>
  <Paragraphs>176</Paragraphs>
  <ScaleCrop>false</ScaleCrop>
  <HeadingPairs>
    <vt:vector size="2" baseType="variant">
      <vt:variant>
        <vt:lpstr>Titre</vt:lpstr>
      </vt:variant>
      <vt:variant>
        <vt:i4>1</vt:i4>
      </vt:variant>
    </vt:vector>
  </HeadingPairs>
  <TitlesOfParts>
    <vt:vector size="1" baseType="lpstr">
      <vt:lpstr/>
    </vt:vector>
  </TitlesOfParts>
  <Company>UPEC</Company>
  <LinksUpToDate>false</LinksUpToDate>
  <CharactersWithSpaces>101563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DELAROSA</dc:creator>
  <cp:keywords/>
  <dc:description/>
  <cp:lastModifiedBy>DELAROSA</cp:lastModifiedBy>
  <cp:revision>2</cp:revision>
  <dcterms:created xsi:type="dcterms:W3CDTF">2023-09-08T14:18:00Z</dcterms:created>
  <dcterms:modified xsi:type="dcterms:W3CDTF">2023-09-08T14:18:00Z</dcterms:modified>
</cp:coreProperties>
</file>